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tblInd w:w="-252" w:type="dxa"/>
        <w:tblLayout w:type="fixed"/>
        <w:tblLook w:val="0000" w:firstRow="0" w:lastRow="0" w:firstColumn="0" w:lastColumn="0" w:noHBand="0" w:noVBand="0"/>
      </w:tblPr>
      <w:tblGrid>
        <w:gridCol w:w="401"/>
        <w:gridCol w:w="385"/>
        <w:gridCol w:w="3260"/>
        <w:gridCol w:w="51"/>
        <w:gridCol w:w="5802"/>
        <w:gridCol w:w="242"/>
        <w:gridCol w:w="100"/>
      </w:tblGrid>
      <w:tr w:rsidR="002721A2" w:rsidRPr="005A1654" w14:paraId="24415A61" w14:textId="77777777" w:rsidTr="00D07526">
        <w:trPr>
          <w:gridAfter w:val="1"/>
          <w:wAfter w:w="100" w:type="dxa"/>
          <w:trHeight w:val="608"/>
        </w:trPr>
        <w:tc>
          <w:tcPr>
            <w:tcW w:w="4046" w:type="dxa"/>
            <w:gridSpan w:val="3"/>
          </w:tcPr>
          <w:p w14:paraId="7FDA6C1E" w14:textId="77777777" w:rsidR="002721A2" w:rsidRPr="005A1654" w:rsidRDefault="002721A2" w:rsidP="00ED2398">
            <w:pPr>
              <w:jc w:val="center"/>
            </w:pPr>
            <w:r w:rsidRPr="005A1654">
              <w:t xml:space="preserve">ỦY BAN NHÂN DÂN </w:t>
            </w:r>
          </w:p>
          <w:p w14:paraId="7972BAB9" w14:textId="77777777" w:rsidR="002721A2" w:rsidRPr="005A1654" w:rsidRDefault="002721A2" w:rsidP="00ED2398">
            <w:pPr>
              <w:jc w:val="center"/>
            </w:pPr>
            <w:r w:rsidRPr="005A1654">
              <w:t>THÀNH PHỐ HỒ CHÍ MINH</w:t>
            </w:r>
          </w:p>
          <w:p w14:paraId="417246EA" w14:textId="77777777" w:rsidR="002721A2" w:rsidRPr="005A1654" w:rsidRDefault="002721A2" w:rsidP="0031766D">
            <w:pPr>
              <w:pStyle w:val="Heading2"/>
              <w:rPr>
                <w:rFonts w:ascii="Times New Roman" w:hAnsi="Times New Roman"/>
                <w:b/>
                <w:bCs/>
                <w:sz w:val="28"/>
                <w:szCs w:val="28"/>
              </w:rPr>
            </w:pPr>
            <w:r w:rsidRPr="005A1654">
              <w:rPr>
                <w:rFonts w:ascii="Times New Roman" w:hAnsi="Times New Roman"/>
                <w:b/>
                <w:bCs/>
                <w:sz w:val="28"/>
                <w:szCs w:val="28"/>
              </w:rPr>
              <w:t xml:space="preserve">SỞ </w:t>
            </w:r>
            <w:r w:rsidR="0031766D" w:rsidRPr="005A1654">
              <w:rPr>
                <w:rFonts w:ascii="Times New Roman" w:hAnsi="Times New Roman"/>
                <w:b/>
                <w:bCs/>
                <w:sz w:val="28"/>
                <w:szCs w:val="28"/>
              </w:rPr>
              <w:t>GIÁO DỤC VÀ ĐÀO TẠO</w:t>
            </w:r>
            <w:r w:rsidRPr="005A1654">
              <w:rPr>
                <w:rFonts w:ascii="Times New Roman" w:hAnsi="Times New Roman"/>
                <w:b/>
                <w:bCs/>
                <w:sz w:val="28"/>
                <w:szCs w:val="28"/>
              </w:rPr>
              <w:t xml:space="preserve"> </w:t>
            </w:r>
          </w:p>
        </w:tc>
        <w:tc>
          <w:tcPr>
            <w:tcW w:w="6095" w:type="dxa"/>
            <w:gridSpan w:val="3"/>
          </w:tcPr>
          <w:p w14:paraId="581754A6" w14:textId="77777777" w:rsidR="002721A2" w:rsidRPr="005A1654" w:rsidRDefault="002721A2" w:rsidP="00ED2398">
            <w:pPr>
              <w:pStyle w:val="Heading1"/>
              <w:rPr>
                <w:rFonts w:ascii="Times New Roman" w:hAnsi="Times New Roman"/>
                <w:sz w:val="28"/>
                <w:szCs w:val="28"/>
              </w:rPr>
            </w:pPr>
            <w:r w:rsidRPr="005A1654">
              <w:rPr>
                <w:rFonts w:ascii="Times New Roman" w:hAnsi="Times New Roman"/>
                <w:sz w:val="28"/>
                <w:szCs w:val="28"/>
              </w:rPr>
              <w:t>CỘNG HÒA XÃ HỘI CHỦ NGHĨA VIỆT NAM</w:t>
            </w:r>
          </w:p>
          <w:p w14:paraId="121755C0" w14:textId="77777777" w:rsidR="002721A2" w:rsidRPr="005A1654" w:rsidRDefault="0038146F" w:rsidP="00ED2398">
            <w:pPr>
              <w:pStyle w:val="Heading9"/>
              <w:rPr>
                <w:rFonts w:ascii="Times New Roman" w:hAnsi="Times New Roman"/>
                <w:sz w:val="28"/>
                <w:szCs w:val="28"/>
              </w:rPr>
            </w:pPr>
            <w:r w:rsidRPr="005A1654">
              <w:rPr>
                <w:rFonts w:ascii="Times New Roman" w:hAnsi="Times New Roman"/>
                <w:noProof/>
                <w:sz w:val="28"/>
                <w:szCs w:val="28"/>
                <w:lang w:val="en-GB" w:eastAsia="en-GB"/>
              </w:rPr>
              <mc:AlternateContent>
                <mc:Choice Requires="wps">
                  <w:drawing>
                    <wp:anchor distT="0" distB="0" distL="114300" distR="114300" simplePos="0" relativeHeight="251651584" behindDoc="0" locked="0" layoutInCell="1" allowOverlap="1" wp14:anchorId="7C337DE3" wp14:editId="5E715564">
                      <wp:simplePos x="0" y="0"/>
                      <wp:positionH relativeFrom="column">
                        <wp:posOffset>979421</wp:posOffset>
                      </wp:positionH>
                      <wp:positionV relativeFrom="paragraph">
                        <wp:posOffset>205369</wp:posOffset>
                      </wp:positionV>
                      <wp:extent cx="1790772" cy="0"/>
                      <wp:effectExtent l="0" t="0" r="1905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2AE3"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16.15pt" to="218.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o7sAEAAEgDAAAOAAAAZHJzL2Uyb0RvYy54bWysU8Fu2zAMvQ/YPwi6L3YCdFm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F8eVsvlwsp&#10;1CVXQXNpDMTxq8FR5E0rnfXZB2jg8MQxE4HmUpKPPT5a58pbOi+mVt7eLG5KA6OzOidzGVO/2zgS&#10;B8jTUL6iKmXelxHuvS5ggwH9cN5HsO5tny53/mxG1p+HjZsd6tOWLial5yosz6OV5+F9XLp//wDr&#10;XwAAAP//AwBQSwMEFAAGAAgAAAAhAD7kzcrcAAAACQEAAA8AAABkcnMvZG93bnJldi54bWxMj8FO&#10;wzAQRO9I/IO1SFyq1iEpFQpxKgTkxoVCxXUbL0lEvE5jtw18PYs4wHFmn2ZnivXkenWkMXSeDVwt&#10;ElDEtbcdNwZeX6r5DagQkS32nsnAJwVYl+dnBebWn/iZjpvYKAnhkKOBNsYh1zrULTkMCz8Qy+3d&#10;jw6jyLHRdsSThLtep0my0g47lg8tDnTfUv2xOTgDodrSvvqa1bPkLWs8pfuHp0c05vJiursFFWmK&#10;fzD81JfqUEqnnT+wDaoXfb1MBTWQpRkoAZbZSozdr6HLQv9fUH4DAAD//wMAUEsBAi0AFAAGAAgA&#10;AAAhALaDOJL+AAAA4QEAABMAAAAAAAAAAAAAAAAAAAAAAFtDb250ZW50X1R5cGVzXS54bWxQSwEC&#10;LQAUAAYACAAAACEAOP0h/9YAAACUAQAACwAAAAAAAAAAAAAAAAAvAQAAX3JlbHMvLnJlbHNQSwEC&#10;LQAUAAYACAAAACEAD0D6O7ABAABIAwAADgAAAAAAAAAAAAAAAAAuAgAAZHJzL2Uyb0RvYy54bWxQ&#10;SwECLQAUAAYACAAAACEAPuTNytwAAAAJAQAADwAAAAAAAAAAAAAAAAAKBAAAZHJzL2Rvd25yZXYu&#10;eG1sUEsFBgAAAAAEAAQA8wAAABMFAAAAAA==&#10;"/>
                  </w:pict>
                </mc:Fallback>
              </mc:AlternateContent>
            </w:r>
            <w:r w:rsidR="002721A2" w:rsidRPr="005A1654">
              <w:rPr>
                <w:rFonts w:ascii="Times New Roman" w:hAnsi="Times New Roman"/>
                <w:sz w:val="28"/>
                <w:szCs w:val="28"/>
              </w:rPr>
              <w:t xml:space="preserve">Độc lập - Tự do - Hạnh phúc                                                    </w:t>
            </w:r>
          </w:p>
        </w:tc>
      </w:tr>
      <w:tr w:rsidR="002721A2" w:rsidRPr="005A1654" w14:paraId="789E0466" w14:textId="77777777" w:rsidTr="00D07526">
        <w:trPr>
          <w:gridAfter w:val="1"/>
          <w:wAfter w:w="100" w:type="dxa"/>
          <w:trHeight w:val="736"/>
        </w:trPr>
        <w:tc>
          <w:tcPr>
            <w:tcW w:w="4097" w:type="dxa"/>
            <w:gridSpan w:val="4"/>
          </w:tcPr>
          <w:p w14:paraId="7A34F47B" w14:textId="77777777" w:rsidR="002721A2" w:rsidRPr="005D23D0" w:rsidRDefault="000F4FA9" w:rsidP="00273DE7">
            <w:pPr>
              <w:pStyle w:val="Heading2"/>
              <w:spacing w:before="180" w:after="120"/>
              <w:rPr>
                <w:rFonts w:ascii="Times New Roman" w:hAnsi="Times New Roman"/>
                <w:sz w:val="28"/>
                <w:szCs w:val="28"/>
              </w:rPr>
            </w:pPr>
            <w:r>
              <w:rPr>
                <w:b/>
                <w:noProof/>
                <w:lang w:val="en-GB" w:eastAsia="en-GB"/>
              </w:rPr>
              <mc:AlternateContent>
                <mc:Choice Requires="wps">
                  <w:drawing>
                    <wp:anchor distT="0" distB="0" distL="114300" distR="114300" simplePos="0" relativeHeight="251667456" behindDoc="0" locked="0" layoutInCell="1" allowOverlap="1" wp14:anchorId="3CE5B4C5" wp14:editId="5354C26E">
                      <wp:simplePos x="0" y="0"/>
                      <wp:positionH relativeFrom="column">
                        <wp:posOffset>530225</wp:posOffset>
                      </wp:positionH>
                      <wp:positionV relativeFrom="paragraph">
                        <wp:posOffset>495300</wp:posOffset>
                      </wp:positionV>
                      <wp:extent cx="1155700" cy="314325"/>
                      <wp:effectExtent l="0" t="0" r="25400"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14325"/>
                              </a:xfrm>
                              <a:prstGeom prst="roundRect">
                                <a:avLst>
                                  <a:gd name="adj" fmla="val 16667"/>
                                </a:avLst>
                              </a:prstGeom>
                              <a:solidFill>
                                <a:srgbClr val="FFFFFF"/>
                              </a:solidFill>
                              <a:ln w="9525">
                                <a:solidFill>
                                  <a:srgbClr val="000000"/>
                                </a:solidFill>
                                <a:round/>
                                <a:headEnd/>
                                <a:tailEnd/>
                              </a:ln>
                            </wps:spPr>
                            <wps:txbx>
                              <w:txbxContent>
                                <w:p w14:paraId="54A82A6C" w14:textId="77777777" w:rsidR="000F4FA9" w:rsidRPr="001C38F2" w:rsidRDefault="000F4FA9" w:rsidP="0046734A">
                                  <w:pPr>
                                    <w:jc w:val="center"/>
                                    <w:rPr>
                                      <w:b/>
                                    </w:rPr>
                                  </w:pPr>
                                  <w:r w:rsidRPr="001C38F2">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5B4C5" id="Rounded Rectangle 4" o:spid="_x0000_s1026" style="position:absolute;left:0;text-align:left;margin-left:41.75pt;margin-top:39pt;width:9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4QIAIAAEUEAAAOAAAAZHJzL2Uyb0RvYy54bWysU9tu2zAMfR+wfxD0vthOk3Q14hRFugwD&#10;ugvW7QNkSba1yaImKbHTrx8tO1l2wR6G6UEgRfGQPCTXt32ryUE6r8AUNJullEjDQShTF/Tzp92L&#10;l5T4wIxgGows6FF6ert5/mzd2VzOoQEtpCMIYnze2YI2Idg8STxvZMv8DKw0aKzAtSyg6upEONYh&#10;equTeZqukg6csA649B5f70cj3UT8qpI8vK8qLwPRBcXcQrxdvMvhTjZrlteO2UbxKQ32D1m0TBkM&#10;eoa6Z4GRvVO/QbWKO/BQhRmHNoGqUlzGGrCaLP2lmseGWRlrQXK8PdPk/x8sf3d4tB/ckLq3D8C/&#10;emJg2zBTyzvnoGskExguG4hKOuvzs8OgeHQlZfcWBLaW7QNEDvrKtQMgVkf6SPXxTLXsA+H4mGXL&#10;5XWKHeFou8oWV/NlDMHyk7d1PryW0JJBKKiDvREfsZ8xBDs8+BD5FsSwdoguvlBStRq7d2CaZKvV&#10;6npCnD4nLD9hxnJBK7FTWkfF1eVWO4KuBd3FMzn7y2/akK6gN0tM9u8QaTx/goh1xKkbqH1lRJQD&#10;U3qUMUttJq4HeodJ9nnoyx4/DmIJ4oisOxhnGXcPhQbcEyUdznFB/bc9c5IS/cZg526yxWIY/Kgs&#10;ltdzVNylpby0MMMRqqCBklHchnFZ9tapusFIWazcwB12u1LhNBZjVlPeOKso/bQMl3r89WP7N98B&#10;AAD//wMAUEsDBBQABgAIAAAAIQB1yUd63AAAAAkBAAAPAAAAZHJzL2Rvd25yZXYueG1sTI9BT4Qw&#10;EIXvJv6HZky8ua0YdpGlbIyJXo3owWOhs0CkU5YWFv31jic9zntf3rxXHFY3iAWn0HvScLtRIJAa&#10;b3tqNby/Pd1kIEI0ZM3gCTV8YYBDeXlRmNz6M73iUsVWcAiF3GjoYhxzKUPToTNh40ck9o5+ciby&#10;ObXSTubM4W6QiVJb6UxP/KEzIz522HxWs9PQWDWr6WN5ua/TWH0v84nk80nr66v1YQ8i4hr/YPit&#10;z9Wh5E61n8kGMWjI7lImNewynsR+sk1ZqBlMdinIspD/F5Q/AAAA//8DAFBLAQItABQABgAIAAAA&#10;IQC2gziS/gAAAOEBAAATAAAAAAAAAAAAAAAAAAAAAABbQ29udGVudF9UeXBlc10ueG1sUEsBAi0A&#10;FAAGAAgAAAAhADj9If/WAAAAlAEAAAsAAAAAAAAAAAAAAAAALwEAAF9yZWxzLy5yZWxzUEsBAi0A&#10;FAAGAAgAAAAhAGlrrhAgAgAARQQAAA4AAAAAAAAAAAAAAAAALgIAAGRycy9lMm9Eb2MueG1sUEsB&#10;Ai0AFAAGAAgAAAAhAHXJR3rcAAAACQEAAA8AAAAAAAAAAAAAAAAAegQAAGRycy9kb3ducmV2Lnht&#10;bFBLBQYAAAAABAAEAPMAAACDBQAAAAA=&#10;">
                      <v:textbox>
                        <w:txbxContent>
                          <w:p w14:paraId="54A82A6C" w14:textId="77777777" w:rsidR="000F4FA9" w:rsidRPr="001C38F2" w:rsidRDefault="000F4FA9" w:rsidP="0046734A">
                            <w:pPr>
                              <w:jc w:val="center"/>
                              <w:rPr>
                                <w:b/>
                              </w:rPr>
                            </w:pPr>
                            <w:r w:rsidRPr="001C38F2">
                              <w:rPr>
                                <w:b/>
                              </w:rPr>
                              <w:t>DỰ THẢO</w:t>
                            </w:r>
                          </w:p>
                        </w:txbxContent>
                      </v:textbox>
                    </v:roundrect>
                  </w:pict>
                </mc:Fallback>
              </mc:AlternateContent>
            </w:r>
            <w:r w:rsidR="0038146F" w:rsidRPr="005A1654">
              <w:rPr>
                <w:rFonts w:ascii="Times New Roman" w:hAnsi="Times New Roman"/>
                <w:noProof/>
                <w:sz w:val="28"/>
                <w:szCs w:val="28"/>
                <w:lang w:val="en-GB" w:eastAsia="en-GB"/>
              </w:rPr>
              <mc:AlternateContent>
                <mc:Choice Requires="wps">
                  <w:drawing>
                    <wp:anchor distT="0" distB="0" distL="114300" distR="114300" simplePos="0" relativeHeight="251658752" behindDoc="0" locked="0" layoutInCell="1" allowOverlap="1" wp14:anchorId="75B3E022" wp14:editId="10AA60F4">
                      <wp:simplePos x="0" y="0"/>
                      <wp:positionH relativeFrom="column">
                        <wp:posOffset>547825</wp:posOffset>
                      </wp:positionH>
                      <wp:positionV relativeFrom="paragraph">
                        <wp:posOffset>9525</wp:posOffset>
                      </wp:positionV>
                      <wp:extent cx="1138687" cy="0"/>
                      <wp:effectExtent l="0" t="0" r="2349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6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BBF3"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75pt" to="13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6dbsAEAAEgDAAAOAAAAZHJzL2Uyb0RvYy54bWysU8Fu2zAMvQ/YPwi6L44ztMuMOD2k6y7d&#10;FqDdBzCSbAuTRYFU4uTvJ6lJWmy3YT4Iokg+vfdEr+6OoxMHQ2zRt7KezaUwXqG2vm/lz+eHD0sp&#10;OILX4NCbVp4My7v1+3erKTRmgQM6bUgkEM/NFFo5xBiaqmI1mBF4hsH4lOyQRogppL7SBFNCH121&#10;mM9vqwlJB0JlmNPp/UtSrgt+1xkVf3QdmyhcKxO3WFYq6y6v1XoFTU8QBqvONOAfWIxgfbr0CnUP&#10;EcSe7F9Qo1WEjF2cKRwr7DqrTNGQ1NTzP9Q8DRBM0ZLM4XC1if8frPp+2PgtZerq6J/CI6pfLDxu&#10;BvC9KQSeTyE9XJ2tqqbAzbUlBxy2JHbTN9SpBvYRiwvHjsYMmfSJYzH7dDXbHKNQ6bCuPy5vl5+k&#10;UJdcBc2lMRDHrwZHkTetdNZnH6CBwyPHTASaS0k+9vhgnStv6byYWvn5ZnFTGhid1TmZy5j63caR&#10;OECehvIVVSnztoxw73UBGwzoL+d9BOte9uly589mZP152LjZoT5t6WJSeq7C8jxaeR7exqX79QdY&#10;/wYAAP//AwBQSwMEFAAGAAgAAAAhAAwhFXvZAAAABgEAAA8AAABkcnMvZG93bnJldi54bWxMjs1O&#10;wzAQhO9IvIO1SFyq1iFVoyrEqRCQGxcKqNdtvCQR8TqN3Tbw9Cxc4Dg/mvmKzeR6daIxdJ4N3CwS&#10;UMS1tx03Bl5fqvkaVIjIFnvPZOCTAmzKy4sCc+vP/EynbWyUjHDI0UAb45BrHeqWHIaFH4gle/ej&#10;wyhybLQd8SzjrtdpkmTaYcfy0OJA9y3VH9ujMxCqNzpUX7N6luyWjaf08PD0iMZcX013t6AiTfGv&#10;DD/4gg6lMO39kW1QvYF1tpSm+CtQEqfZKgO1/9W6LPR//PIbAAD//wMAUEsBAi0AFAAGAAgAAAAh&#10;ALaDOJL+AAAA4QEAABMAAAAAAAAAAAAAAAAAAAAAAFtDb250ZW50X1R5cGVzXS54bWxQSwECLQAU&#10;AAYACAAAACEAOP0h/9YAAACUAQAACwAAAAAAAAAAAAAAAAAvAQAAX3JlbHMvLnJlbHNQSwECLQAU&#10;AAYACAAAACEAstenW7ABAABIAwAADgAAAAAAAAAAAAAAAAAuAgAAZHJzL2Uyb0RvYy54bWxQSwEC&#10;LQAUAAYACAAAACEADCEVe9kAAAAGAQAADwAAAAAAAAAAAAAAAAAKBAAAZHJzL2Rvd25yZXYueG1s&#10;UEsFBgAAAAAEAAQA8wAAABAFAAAAAA==&#10;"/>
                  </w:pict>
                </mc:Fallback>
              </mc:AlternateContent>
            </w:r>
            <w:r w:rsidR="002721A2" w:rsidRPr="005A1654">
              <w:rPr>
                <w:rFonts w:ascii="Times New Roman" w:hAnsi="Times New Roman"/>
                <w:sz w:val="28"/>
                <w:szCs w:val="28"/>
              </w:rPr>
              <w:t xml:space="preserve">Số: </w:t>
            </w:r>
            <w:r w:rsidR="00827BC6">
              <w:rPr>
                <w:rFonts w:ascii="Times New Roman" w:hAnsi="Times New Roman"/>
                <w:sz w:val="28"/>
                <w:szCs w:val="28"/>
              </w:rPr>
              <w:t xml:space="preserve">          </w:t>
            </w:r>
            <w:r w:rsidR="002721A2" w:rsidRPr="005A1654">
              <w:rPr>
                <w:rFonts w:ascii="Times New Roman" w:hAnsi="Times New Roman"/>
                <w:sz w:val="28"/>
                <w:szCs w:val="28"/>
              </w:rPr>
              <w:t>/</w:t>
            </w:r>
            <w:r w:rsidR="00963A46">
              <w:rPr>
                <w:rFonts w:ascii="Times New Roman" w:hAnsi="Times New Roman"/>
                <w:sz w:val="28"/>
                <w:szCs w:val="28"/>
              </w:rPr>
              <w:t>BC-</w:t>
            </w:r>
            <w:r w:rsidR="00CC0279">
              <w:rPr>
                <w:rFonts w:ascii="Times New Roman" w:hAnsi="Times New Roman"/>
                <w:sz w:val="28"/>
                <w:szCs w:val="28"/>
              </w:rPr>
              <w:t>S</w:t>
            </w:r>
            <w:r w:rsidR="0031766D" w:rsidRPr="005A1654">
              <w:rPr>
                <w:rFonts w:ascii="Times New Roman" w:hAnsi="Times New Roman"/>
                <w:sz w:val="28"/>
                <w:szCs w:val="28"/>
              </w:rPr>
              <w:t>GDĐT</w:t>
            </w:r>
          </w:p>
        </w:tc>
        <w:tc>
          <w:tcPr>
            <w:tcW w:w="6044" w:type="dxa"/>
            <w:gridSpan w:val="2"/>
          </w:tcPr>
          <w:p w14:paraId="5C940A31" w14:textId="77777777" w:rsidR="002721A2" w:rsidRDefault="002721A2" w:rsidP="00273DE7">
            <w:pPr>
              <w:pStyle w:val="Heading3"/>
              <w:spacing w:before="120"/>
              <w:ind w:right="-14"/>
              <w:jc w:val="left"/>
              <w:rPr>
                <w:rFonts w:ascii="Times New Roman" w:hAnsi="Times New Roman"/>
                <w:spacing w:val="-4"/>
                <w:sz w:val="28"/>
                <w:szCs w:val="28"/>
              </w:rPr>
            </w:pPr>
            <w:r w:rsidRPr="005A1654">
              <w:rPr>
                <w:rFonts w:ascii="Times New Roman" w:hAnsi="Times New Roman"/>
                <w:spacing w:val="-4"/>
                <w:sz w:val="28"/>
                <w:szCs w:val="28"/>
              </w:rPr>
              <w:t xml:space="preserve">Thành phố Hồ Chí Minh, ngày </w:t>
            </w:r>
            <w:r w:rsidR="00827BC6">
              <w:rPr>
                <w:rFonts w:ascii="Times New Roman" w:hAnsi="Times New Roman"/>
                <w:spacing w:val="-4"/>
                <w:sz w:val="28"/>
                <w:szCs w:val="28"/>
              </w:rPr>
              <w:t xml:space="preserve">    </w:t>
            </w:r>
            <w:r w:rsidRPr="005A1654">
              <w:rPr>
                <w:rFonts w:ascii="Times New Roman" w:hAnsi="Times New Roman"/>
                <w:color w:val="FF0000"/>
                <w:spacing w:val="-4"/>
                <w:sz w:val="28"/>
                <w:szCs w:val="28"/>
              </w:rPr>
              <w:t xml:space="preserve"> </w:t>
            </w:r>
            <w:r w:rsidRPr="005A1654">
              <w:rPr>
                <w:rFonts w:ascii="Times New Roman" w:hAnsi="Times New Roman"/>
                <w:spacing w:val="-4"/>
                <w:sz w:val="28"/>
                <w:szCs w:val="28"/>
              </w:rPr>
              <w:t>tháng</w:t>
            </w:r>
            <w:r w:rsidR="004F298A">
              <w:rPr>
                <w:rFonts w:ascii="Times New Roman" w:hAnsi="Times New Roman"/>
                <w:spacing w:val="-4"/>
                <w:sz w:val="28"/>
                <w:szCs w:val="28"/>
              </w:rPr>
              <w:t xml:space="preserve"> </w:t>
            </w:r>
            <w:r w:rsidR="00ED4970">
              <w:rPr>
                <w:rFonts w:ascii="Times New Roman" w:hAnsi="Times New Roman"/>
                <w:spacing w:val="-4"/>
                <w:sz w:val="28"/>
                <w:szCs w:val="28"/>
              </w:rPr>
              <w:t>5</w:t>
            </w:r>
            <w:r w:rsidRPr="005A1654">
              <w:rPr>
                <w:rFonts w:ascii="Times New Roman" w:hAnsi="Times New Roman"/>
                <w:color w:val="FF0000"/>
                <w:spacing w:val="-4"/>
                <w:sz w:val="28"/>
                <w:szCs w:val="28"/>
              </w:rPr>
              <w:t xml:space="preserve"> </w:t>
            </w:r>
            <w:r w:rsidR="001A7B41">
              <w:rPr>
                <w:rFonts w:ascii="Times New Roman" w:hAnsi="Times New Roman"/>
                <w:spacing w:val="-4"/>
                <w:sz w:val="28"/>
                <w:szCs w:val="28"/>
              </w:rPr>
              <w:t>năm 202</w:t>
            </w:r>
            <w:r w:rsidR="00ED4970">
              <w:rPr>
                <w:rFonts w:ascii="Times New Roman" w:hAnsi="Times New Roman"/>
                <w:spacing w:val="-4"/>
                <w:sz w:val="28"/>
                <w:szCs w:val="28"/>
              </w:rPr>
              <w:t>2</w:t>
            </w:r>
          </w:p>
          <w:p w14:paraId="3657EF37" w14:textId="77777777" w:rsidR="00D07526" w:rsidRPr="00D07526" w:rsidRDefault="00D07526" w:rsidP="00D07526">
            <w:pPr>
              <w:ind w:left="-3703" w:firstLine="3703"/>
            </w:pPr>
          </w:p>
          <w:p w14:paraId="6680DCA8" w14:textId="77777777" w:rsidR="00D07526" w:rsidRPr="00D07526" w:rsidRDefault="00D07526" w:rsidP="00D07526"/>
        </w:tc>
      </w:tr>
      <w:tr w:rsidR="005D23D0" w:rsidRPr="004000E2" w14:paraId="01E4AB62" w14:textId="77777777" w:rsidTr="00D07526">
        <w:tblPrEx>
          <w:jc w:val="center"/>
          <w:tblInd w:w="0" w:type="dxa"/>
        </w:tblPrEx>
        <w:trPr>
          <w:gridBefore w:val="2"/>
          <w:wBefore w:w="786" w:type="dxa"/>
          <w:trHeight w:val="368"/>
          <w:jc w:val="center"/>
        </w:trPr>
        <w:tc>
          <w:tcPr>
            <w:tcW w:w="9455" w:type="dxa"/>
            <w:gridSpan w:val="5"/>
          </w:tcPr>
          <w:p w14:paraId="611BC86B" w14:textId="77777777" w:rsidR="005D23D0" w:rsidRPr="004000E2" w:rsidRDefault="005D23D0" w:rsidP="000F5A85">
            <w:pPr>
              <w:shd w:val="clear" w:color="auto" w:fill="FFFFFF"/>
              <w:spacing w:before="360" w:line="252" w:lineRule="auto"/>
              <w:jc w:val="center"/>
              <w:rPr>
                <w:b/>
              </w:rPr>
            </w:pPr>
            <w:r w:rsidRPr="004000E2">
              <w:rPr>
                <w:b/>
              </w:rPr>
              <w:t>BÁO CÁO</w:t>
            </w:r>
            <w:r w:rsidR="000F5A85">
              <w:rPr>
                <w:b/>
              </w:rPr>
              <w:t xml:space="preserve"> ĐÁNH GIÁ TÁC ĐỘNG </w:t>
            </w:r>
          </w:p>
        </w:tc>
      </w:tr>
      <w:tr w:rsidR="005D23D0" w:rsidRPr="000F5A85" w14:paraId="68642C1A" w14:textId="77777777" w:rsidTr="00D07526">
        <w:tblPrEx>
          <w:jc w:val="center"/>
          <w:tblInd w:w="0" w:type="dxa"/>
        </w:tblPrEx>
        <w:trPr>
          <w:gridBefore w:val="1"/>
          <w:gridAfter w:val="2"/>
          <w:wBefore w:w="401" w:type="dxa"/>
          <w:wAfter w:w="342" w:type="dxa"/>
          <w:trHeight w:val="368"/>
          <w:jc w:val="center"/>
        </w:trPr>
        <w:tc>
          <w:tcPr>
            <w:tcW w:w="9498" w:type="dxa"/>
            <w:gridSpan w:val="4"/>
          </w:tcPr>
          <w:p w14:paraId="3C8F8167" w14:textId="77777777" w:rsidR="005D23D0" w:rsidRPr="000F5A85" w:rsidRDefault="005D23D0" w:rsidP="00ED4970">
            <w:pPr>
              <w:shd w:val="clear" w:color="auto" w:fill="FFFFFF"/>
              <w:spacing w:line="252" w:lineRule="auto"/>
              <w:jc w:val="center"/>
              <w:rPr>
                <w:i/>
              </w:rPr>
            </w:pPr>
            <w:r w:rsidRPr="000F5A85">
              <w:t xml:space="preserve">Về </w:t>
            </w:r>
            <w:r w:rsidR="00285732" w:rsidRPr="00285732">
              <w:rPr>
                <w:iCs/>
                <w:lang w:val="vi-VN"/>
              </w:rPr>
              <w:t xml:space="preserve">quy định mức học phí đối với giáo dục mầm non, giáo dục phổ thông công </w:t>
            </w:r>
            <w:proofErr w:type="gramStart"/>
            <w:r w:rsidR="00285732" w:rsidRPr="00285732">
              <w:rPr>
                <w:iCs/>
                <w:lang w:val="vi-VN"/>
              </w:rPr>
              <w:t xml:space="preserve">lập  </w:t>
            </w:r>
            <w:r w:rsidR="00ED4970" w:rsidRPr="00ED4970">
              <w:rPr>
                <w:iCs/>
                <w:lang w:val="vi-VN"/>
              </w:rPr>
              <w:t>từ</w:t>
            </w:r>
            <w:proofErr w:type="gramEnd"/>
            <w:r w:rsidR="00ED4970" w:rsidRPr="00ED4970">
              <w:rPr>
                <w:iCs/>
                <w:lang w:val="vi-VN"/>
              </w:rPr>
              <w:t xml:space="preserve"> năm học 2022-2023 và các năm học tiếp theo trên địa bàn </w:t>
            </w:r>
            <w:r w:rsidR="00ED4970">
              <w:rPr>
                <w:iCs/>
              </w:rPr>
              <w:br/>
            </w:r>
            <w:r w:rsidR="00ED4970" w:rsidRPr="00ED4970">
              <w:rPr>
                <w:iCs/>
                <w:lang w:val="vi-VN"/>
              </w:rPr>
              <w:t>Thành phố Hồ Chí Minh</w:t>
            </w:r>
            <w:r w:rsidR="00754703" w:rsidRPr="000F5A85">
              <w:rPr>
                <w:iCs/>
                <w:lang w:val="vi-VN"/>
              </w:rPr>
              <w:t xml:space="preserve"> theo </w:t>
            </w:r>
            <w:r w:rsidR="00754703" w:rsidRPr="000F5A85">
              <w:rPr>
                <w:iCs/>
                <w:lang w:val="pt-BR"/>
              </w:rPr>
              <w:t xml:space="preserve">Nghị định số 81/2021/NĐ-CP </w:t>
            </w:r>
            <w:r w:rsidR="00ED4970">
              <w:rPr>
                <w:iCs/>
                <w:lang w:val="pt-BR"/>
              </w:rPr>
              <w:br/>
            </w:r>
            <w:r w:rsidR="00754703" w:rsidRPr="000F5A85">
              <w:rPr>
                <w:iCs/>
                <w:lang w:val="pt-BR"/>
              </w:rPr>
              <w:t>ngày 27 tháng 08 năm 2021 của Chính phủ</w:t>
            </w:r>
            <w:r w:rsidR="00754703" w:rsidRPr="000F5A85">
              <w:rPr>
                <w:iCs/>
                <w:lang w:val="vi-VN"/>
              </w:rPr>
              <w:t>.</w:t>
            </w:r>
          </w:p>
        </w:tc>
      </w:tr>
      <w:tr w:rsidR="005D23D0" w:rsidRPr="004000E2" w14:paraId="2EDA0C77" w14:textId="77777777" w:rsidTr="00D07526">
        <w:tblPrEx>
          <w:jc w:val="center"/>
          <w:tblInd w:w="0" w:type="dxa"/>
        </w:tblPrEx>
        <w:trPr>
          <w:gridBefore w:val="2"/>
          <w:wBefore w:w="786" w:type="dxa"/>
          <w:trHeight w:val="368"/>
          <w:jc w:val="center"/>
        </w:trPr>
        <w:tc>
          <w:tcPr>
            <w:tcW w:w="9455" w:type="dxa"/>
            <w:gridSpan w:val="5"/>
          </w:tcPr>
          <w:p w14:paraId="65FCD090" w14:textId="77777777" w:rsidR="005D23D0" w:rsidRPr="004000E2" w:rsidRDefault="005D23D0" w:rsidP="005234F3">
            <w:pPr>
              <w:shd w:val="clear" w:color="auto" w:fill="FFFFFF"/>
              <w:spacing w:after="240" w:line="180" w:lineRule="exact"/>
              <w:jc w:val="center"/>
              <w:rPr>
                <w:b/>
                <w:vertAlign w:val="superscript"/>
              </w:rPr>
            </w:pPr>
            <w:r w:rsidRPr="004000E2">
              <w:rPr>
                <w:b/>
                <w:vertAlign w:val="superscript"/>
              </w:rPr>
              <w:t>_____________________</w:t>
            </w:r>
          </w:p>
        </w:tc>
      </w:tr>
    </w:tbl>
    <w:p w14:paraId="7E1CF723" w14:textId="77777777" w:rsidR="00805025" w:rsidRDefault="00C47A1B" w:rsidP="00C729B5">
      <w:pPr>
        <w:spacing w:before="120" w:after="120"/>
        <w:ind w:firstLine="709"/>
        <w:jc w:val="both"/>
      </w:pPr>
      <w:r w:rsidRPr="00C47A1B">
        <w:t>Căn cứ Luật Ban hành văn bản quy phạm pháp luật ngày 22 tháng 6 năm 2015; Luật sửa đổi, bổ sung một số điều của Luật Ban hành văn bản quy phạm phá</w:t>
      </w:r>
      <w:r>
        <w:t xml:space="preserve">p luật ngày 18 tháng 6 năm </w:t>
      </w:r>
      <w:proofErr w:type="gramStart"/>
      <w:r>
        <w:t>2020</w:t>
      </w:r>
      <w:r w:rsidR="00805025">
        <w:t>;</w:t>
      </w:r>
      <w:proofErr w:type="gramEnd"/>
      <w:r w:rsidR="00CC0279">
        <w:t xml:space="preserve"> </w:t>
      </w:r>
    </w:p>
    <w:p w14:paraId="3841E59D" w14:textId="77777777" w:rsidR="00A65E69" w:rsidRDefault="00C47A1B" w:rsidP="00C729B5">
      <w:pPr>
        <w:spacing w:before="120" w:after="120"/>
        <w:ind w:firstLine="709"/>
        <w:jc w:val="both"/>
        <w:rPr>
          <w:spacing w:val="-2"/>
        </w:rPr>
      </w:pPr>
      <w:r w:rsidRPr="00C47A1B">
        <w:rPr>
          <w:spacing w:val="-2"/>
          <w:lang w:val="pt-BR"/>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p>
    <w:p w14:paraId="53128117" w14:textId="77777777" w:rsidR="002721A2" w:rsidRPr="00805025" w:rsidRDefault="00805025" w:rsidP="00C729B5">
      <w:pPr>
        <w:pStyle w:val="BodyText2"/>
        <w:spacing w:before="120" w:line="240" w:lineRule="auto"/>
        <w:ind w:firstLine="720"/>
        <w:jc w:val="both"/>
        <w:rPr>
          <w:spacing w:val="-2"/>
        </w:rPr>
      </w:pPr>
      <w:r>
        <w:rPr>
          <w:spacing w:val="-2"/>
        </w:rPr>
        <w:t>Thực hiện</w:t>
      </w:r>
      <w:r w:rsidRPr="007F641A">
        <w:rPr>
          <w:spacing w:val="-2"/>
        </w:rPr>
        <w:t xml:space="preserve"> Quyết định số 11/2017/QĐ-UBND ngày 08</w:t>
      </w:r>
      <w:r w:rsidR="00A65E69">
        <w:rPr>
          <w:spacing w:val="-2"/>
        </w:rPr>
        <w:t xml:space="preserve"> tháng </w:t>
      </w:r>
      <w:r w:rsidRPr="007F641A">
        <w:rPr>
          <w:spacing w:val="-2"/>
        </w:rPr>
        <w:t>3</w:t>
      </w:r>
      <w:r w:rsidR="00A65E69">
        <w:rPr>
          <w:spacing w:val="-2"/>
        </w:rPr>
        <w:t xml:space="preserve"> năm </w:t>
      </w:r>
      <w:r w:rsidRPr="007F641A">
        <w:rPr>
          <w:spacing w:val="-2"/>
        </w:rPr>
        <w:t xml:space="preserve">2017 của Ủy ban nhân dân thành phố về ban hành Quy định về quy trình xây dựng văn bản quy phạm pháp luật trên địa bàn </w:t>
      </w:r>
      <w:r w:rsidR="00A65E69">
        <w:rPr>
          <w:spacing w:val="-2"/>
        </w:rPr>
        <w:t>T</w:t>
      </w:r>
      <w:r w:rsidRPr="007F641A">
        <w:rPr>
          <w:spacing w:val="-2"/>
        </w:rPr>
        <w:t>hành phố Hồ Chí Minh</w:t>
      </w:r>
      <w:r w:rsidR="007B3472">
        <w:rPr>
          <w:spacing w:val="-2"/>
        </w:rPr>
        <w:t xml:space="preserve">; </w:t>
      </w:r>
      <w:r w:rsidRPr="007F641A">
        <w:rPr>
          <w:spacing w:val="-2"/>
        </w:rPr>
        <w:t>Quyết định số 09/2019/QĐ-UBND ngày 03</w:t>
      </w:r>
      <w:r w:rsidR="00A65E69">
        <w:rPr>
          <w:spacing w:val="-2"/>
        </w:rPr>
        <w:t xml:space="preserve"> tháng </w:t>
      </w:r>
      <w:r w:rsidRPr="007F641A">
        <w:rPr>
          <w:spacing w:val="-2"/>
        </w:rPr>
        <w:t>4</w:t>
      </w:r>
      <w:r w:rsidR="00A65E69">
        <w:rPr>
          <w:spacing w:val="-2"/>
        </w:rPr>
        <w:t xml:space="preserve"> năm </w:t>
      </w:r>
      <w:r w:rsidRPr="007F641A">
        <w:rPr>
          <w:spacing w:val="-2"/>
        </w:rPr>
        <w:t xml:space="preserve">2019 của Ủy ban nhân dân thành phố về việc sửa đổi, bổ sung một số điều của Quy định về quy trình xây dựng văn bản quy phạm pháp luật trên địa bàn </w:t>
      </w:r>
      <w:r w:rsidR="00A65E69">
        <w:rPr>
          <w:spacing w:val="-2"/>
        </w:rPr>
        <w:t>T</w:t>
      </w:r>
      <w:r w:rsidRPr="007F641A">
        <w:rPr>
          <w:spacing w:val="-2"/>
        </w:rPr>
        <w:t>hành phố Hồ Chí Minh ban hành kèm theo Quyết định số 11/2017/QĐ-UBND ngày 08</w:t>
      </w:r>
      <w:r w:rsidR="00A65E69">
        <w:rPr>
          <w:spacing w:val="-2"/>
        </w:rPr>
        <w:t xml:space="preserve"> tháng </w:t>
      </w:r>
      <w:r w:rsidRPr="007F641A">
        <w:rPr>
          <w:spacing w:val="-2"/>
        </w:rPr>
        <w:t>3</w:t>
      </w:r>
      <w:r w:rsidR="00A65E69">
        <w:rPr>
          <w:spacing w:val="-2"/>
        </w:rPr>
        <w:t xml:space="preserve"> năm </w:t>
      </w:r>
      <w:r w:rsidRPr="007F641A">
        <w:rPr>
          <w:spacing w:val="-2"/>
        </w:rPr>
        <w:t xml:space="preserve">2017 của Ủy ban nhân dân </w:t>
      </w:r>
      <w:r w:rsidR="00A65E69">
        <w:rPr>
          <w:spacing w:val="-2"/>
        </w:rPr>
        <w:t>T</w:t>
      </w:r>
      <w:r w:rsidRPr="007F641A">
        <w:rPr>
          <w:spacing w:val="-2"/>
        </w:rPr>
        <w:t xml:space="preserve">hành phố về ban hành Quy định về quy trình xây dựng văn bản quy phạm pháp luật trên địa bàn thành phố Hồ Chí </w:t>
      </w:r>
      <w:proofErr w:type="gramStart"/>
      <w:r w:rsidRPr="007F641A">
        <w:rPr>
          <w:spacing w:val="-2"/>
        </w:rPr>
        <w:t>Minh;</w:t>
      </w:r>
      <w:proofErr w:type="gramEnd"/>
      <w:r w:rsidRPr="007F641A">
        <w:rPr>
          <w:spacing w:val="-2"/>
        </w:rPr>
        <w:t xml:space="preserve"> </w:t>
      </w:r>
    </w:p>
    <w:p w14:paraId="07EF2D05" w14:textId="2AA4CA82" w:rsidR="001E3C5F" w:rsidRPr="008E197F" w:rsidRDefault="001E3C5F" w:rsidP="00C729B5">
      <w:pPr>
        <w:pStyle w:val="NormalWeb"/>
        <w:shd w:val="clear" w:color="auto" w:fill="FFFFFF"/>
        <w:spacing w:before="120" w:beforeAutospacing="0" w:after="120" w:afterAutospacing="0"/>
        <w:ind w:firstLine="720"/>
        <w:jc w:val="both"/>
        <w:rPr>
          <w:iCs/>
          <w:color w:val="000000"/>
          <w:sz w:val="28"/>
          <w:szCs w:val="28"/>
          <w:shd w:val="clear" w:color="auto" w:fill="FFFFFF"/>
        </w:rPr>
      </w:pPr>
      <w:r w:rsidRPr="008E197F">
        <w:rPr>
          <w:iCs/>
          <w:color w:val="000000"/>
          <w:sz w:val="28"/>
          <w:szCs w:val="28"/>
          <w:shd w:val="clear" w:color="auto" w:fill="FFFFFF"/>
        </w:rPr>
        <w:t xml:space="preserve">Sở Giáo dục và Đào tạo báo cáo đánh giá tác động của </w:t>
      </w:r>
      <w:r w:rsidR="00285732" w:rsidRPr="00285732">
        <w:rPr>
          <w:iCs/>
          <w:color w:val="000000"/>
          <w:sz w:val="28"/>
          <w:szCs w:val="28"/>
          <w:shd w:val="clear" w:color="auto" w:fill="FFFFFF"/>
        </w:rPr>
        <w:t xml:space="preserve">quy định mức học phí đối với giáo dục mầm non, giáo dục phổ thông công lập </w:t>
      </w:r>
      <w:r w:rsidR="0066749D" w:rsidRPr="0066749D">
        <w:rPr>
          <w:iCs/>
          <w:color w:val="000000"/>
          <w:sz w:val="28"/>
          <w:szCs w:val="28"/>
          <w:shd w:val="clear" w:color="auto" w:fill="FFFFFF"/>
        </w:rPr>
        <w:t xml:space="preserve">từ năm học 2022-2023 và các năm học tiếp theo </w:t>
      </w:r>
      <w:r w:rsidR="00285732" w:rsidRPr="00285732">
        <w:rPr>
          <w:iCs/>
          <w:color w:val="000000"/>
          <w:sz w:val="28"/>
          <w:szCs w:val="28"/>
          <w:shd w:val="clear" w:color="auto" w:fill="FFFFFF"/>
        </w:rPr>
        <w:t>trên địa bàn Thành phố Hồ Chí Minh</w:t>
      </w:r>
      <w:r w:rsidR="005C0174" w:rsidRPr="005C0174">
        <w:rPr>
          <w:iCs/>
          <w:sz w:val="28"/>
          <w:szCs w:val="28"/>
          <w:lang w:val="vi-VN"/>
        </w:rPr>
        <w:t xml:space="preserve"> theo </w:t>
      </w:r>
      <w:r w:rsidR="005C0174" w:rsidRPr="005C0174">
        <w:rPr>
          <w:iCs/>
          <w:sz w:val="28"/>
          <w:szCs w:val="28"/>
          <w:lang w:val="pt-BR"/>
        </w:rPr>
        <w:t>Nghị định số 81/2021/NĐ-CP ngày 27 tháng 08 năm 2021 của Chính phủ</w:t>
      </w:r>
      <w:r w:rsidR="005C0174">
        <w:rPr>
          <w:iCs/>
          <w:sz w:val="28"/>
          <w:szCs w:val="28"/>
          <w:lang w:val="pt-BR"/>
        </w:rPr>
        <w:t xml:space="preserve"> </w:t>
      </w:r>
      <w:r w:rsidRPr="008E197F">
        <w:rPr>
          <w:bCs/>
          <w:color w:val="000000"/>
          <w:sz w:val="28"/>
          <w:szCs w:val="28"/>
        </w:rPr>
        <w:t>như sau:</w:t>
      </w:r>
    </w:p>
    <w:p w14:paraId="7D9ECE3D" w14:textId="77777777" w:rsidR="001E3C5F" w:rsidRPr="008E197F" w:rsidRDefault="001E3C5F" w:rsidP="00C729B5">
      <w:pPr>
        <w:pStyle w:val="NormalWeb"/>
        <w:shd w:val="clear" w:color="auto" w:fill="FFFFFF"/>
        <w:spacing w:before="120" w:beforeAutospacing="0" w:after="120" w:afterAutospacing="0"/>
        <w:ind w:firstLine="567"/>
        <w:rPr>
          <w:b/>
          <w:bCs/>
          <w:color w:val="000000"/>
          <w:sz w:val="28"/>
          <w:szCs w:val="28"/>
        </w:rPr>
      </w:pPr>
      <w:r w:rsidRPr="008E197F">
        <w:rPr>
          <w:b/>
          <w:bCs/>
          <w:color w:val="000000"/>
          <w:sz w:val="28"/>
          <w:szCs w:val="28"/>
        </w:rPr>
        <w:t>I. XÁC ĐỊNH VẤN ĐỀ BẤT CẬP TỔNG QUAN</w:t>
      </w:r>
    </w:p>
    <w:p w14:paraId="505AE78E" w14:textId="77777777" w:rsidR="001E3C5F" w:rsidRPr="008E197F" w:rsidRDefault="001E3C5F" w:rsidP="00C729B5">
      <w:pPr>
        <w:pStyle w:val="05NidungVB"/>
        <w:tabs>
          <w:tab w:val="left" w:pos="851"/>
        </w:tabs>
        <w:spacing w:before="120" w:line="240" w:lineRule="auto"/>
        <w:rPr>
          <w:b/>
          <w:color w:val="000000"/>
          <w:lang w:val="nb-NO"/>
        </w:rPr>
      </w:pPr>
      <w:r w:rsidRPr="008E197F">
        <w:rPr>
          <w:b/>
          <w:color w:val="000000"/>
          <w:lang w:val="nb-NO"/>
        </w:rPr>
        <w:t>1. Bối cảnh xây dựng chính sách</w:t>
      </w:r>
    </w:p>
    <w:p w14:paraId="4A7213EB" w14:textId="77777777" w:rsidR="007B3472" w:rsidRPr="00430E46" w:rsidRDefault="007B3472" w:rsidP="00C729B5">
      <w:pPr>
        <w:tabs>
          <w:tab w:val="left" w:pos="567"/>
        </w:tabs>
        <w:spacing w:before="120" w:after="120"/>
        <w:ind w:firstLine="567"/>
        <w:jc w:val="both"/>
        <w:rPr>
          <w:spacing w:val="-4"/>
          <w:highlight w:val="white"/>
          <w:lang w:val="ms-MY"/>
        </w:rPr>
      </w:pPr>
      <w:r w:rsidRPr="00430E46">
        <w:rPr>
          <w:spacing w:val="-4"/>
          <w:highlight w:val="white"/>
          <w:lang w:val="ms-MY"/>
        </w:rPr>
        <w:t xml:space="preserve">Thực hiện quy định tại </w:t>
      </w:r>
      <w:r w:rsidRPr="00430E46">
        <w:rPr>
          <w:spacing w:val="-4"/>
          <w:highlight w:val="white"/>
          <w:u w:color="FF0000"/>
          <w:lang w:val="ms-MY"/>
        </w:rPr>
        <w:t>điểm a</w:t>
      </w:r>
      <w:r w:rsidRPr="00430E46">
        <w:rPr>
          <w:spacing w:val="-4"/>
          <w:highlight w:val="white"/>
          <w:lang w:val="ms-MY"/>
        </w:rPr>
        <w:t xml:space="preserve"> và </w:t>
      </w:r>
      <w:r w:rsidRPr="00430E46">
        <w:rPr>
          <w:spacing w:val="-4"/>
          <w:highlight w:val="white"/>
          <w:u w:color="FF0000"/>
          <w:lang w:val="ms-MY"/>
        </w:rPr>
        <w:t>điểm b khoản</w:t>
      </w:r>
      <w:r w:rsidRPr="00430E46">
        <w:rPr>
          <w:spacing w:val="-4"/>
          <w:highlight w:val="white"/>
          <w:lang w:val="ms-MY"/>
        </w:rPr>
        <w:t xml:space="preserve"> 6 Điều 99 Luật Giáo dục ngày 14/6/2019 quy định: “</w:t>
      </w:r>
      <w:r w:rsidRPr="00430E46">
        <w:rPr>
          <w:i/>
          <w:spacing w:val="-4"/>
          <w:highlight w:val="white"/>
          <w:lang w:val="ms-MY"/>
        </w:rPr>
        <w:t>a)</w:t>
      </w:r>
      <w:r w:rsidRPr="00430E46">
        <w:rPr>
          <w:spacing w:val="-4"/>
          <w:highlight w:val="white"/>
          <w:lang w:val="ms-MY"/>
        </w:rPr>
        <w:t xml:space="preserve"> </w:t>
      </w:r>
      <w:r w:rsidRPr="00430E46">
        <w:rPr>
          <w:i/>
          <w:highlight w:val="white"/>
          <w:shd w:val="clear" w:color="auto" w:fill="FFFFFF"/>
          <w:lang w:val="ms-MY"/>
        </w:rPr>
        <w:t xml:space="preserve">Chính phủ quy định cơ chế thu và quản lý học phí đối với các cơ sở giáo dục mầm non, cơ sở giáo dục phổ thông, cơ sở giáo dục nghề nghiệp, cơ </w:t>
      </w:r>
      <w:r w:rsidRPr="00430E46">
        <w:rPr>
          <w:i/>
          <w:highlight w:val="white"/>
          <w:shd w:val="clear" w:color="auto" w:fill="FFFFFF"/>
          <w:lang w:val="ms-MY"/>
        </w:rPr>
        <w:lastRenderedPageBreak/>
        <w:t xml:space="preserve">sở giáo dục đại học công lập; b) Hội đồng nhân dân cấp tỉnh quyết định khung học phí hoặc </w:t>
      </w:r>
      <w:r w:rsidRPr="00430E46">
        <w:rPr>
          <w:i/>
          <w:highlight w:val="white"/>
          <w:u w:color="FF0000"/>
          <w:shd w:val="clear" w:color="auto" w:fill="FFFFFF"/>
          <w:lang w:val="ms-MY"/>
        </w:rPr>
        <w:t>mức</w:t>
      </w:r>
      <w:r w:rsidRPr="00430E46">
        <w:rPr>
          <w:i/>
          <w:highlight w:val="white"/>
          <w:shd w:val="clear" w:color="auto" w:fill="FFFFFF"/>
          <w:lang w:val="ms-MY"/>
        </w:rPr>
        <w:t xml:space="preserve"> học phí cụ thể, các khoản thu dịch vụ phục vụ, hỗ trợ hoạt động giáo dục của nhà trường đối với cơ sở giáo dục công lập theo </w:t>
      </w:r>
      <w:r w:rsidRPr="00430E46">
        <w:rPr>
          <w:i/>
          <w:highlight w:val="white"/>
          <w:u w:color="FF0000"/>
          <w:shd w:val="clear" w:color="auto" w:fill="FFFFFF"/>
          <w:lang w:val="ms-MY"/>
        </w:rPr>
        <w:t>thẩm</w:t>
      </w:r>
      <w:r w:rsidRPr="00430E46">
        <w:rPr>
          <w:i/>
          <w:highlight w:val="white"/>
          <w:shd w:val="clear" w:color="auto" w:fill="FFFFFF"/>
          <w:lang w:val="ms-MY"/>
        </w:rPr>
        <w:t xml:space="preserve"> quyền quản lý nhà nước về giáo dục trên cơ </w:t>
      </w:r>
      <w:r w:rsidRPr="00430E46">
        <w:rPr>
          <w:i/>
          <w:highlight w:val="white"/>
          <w:u w:color="FF0000"/>
          <w:shd w:val="clear" w:color="auto" w:fill="FFFFFF"/>
          <w:lang w:val="ms-MY"/>
        </w:rPr>
        <w:t>sở</w:t>
      </w:r>
      <w:r w:rsidRPr="00430E46">
        <w:rPr>
          <w:i/>
          <w:highlight w:val="white"/>
          <w:shd w:val="clear" w:color="auto" w:fill="FFFFFF"/>
          <w:lang w:val="ms-MY"/>
        </w:rPr>
        <w:t xml:space="preserve"> đề nghị của Ủy ban nhân dân cấp tỉnh”</w:t>
      </w:r>
      <w:r w:rsidRPr="00430E46">
        <w:rPr>
          <w:highlight w:val="white"/>
          <w:shd w:val="clear" w:color="auto" w:fill="FFFFFF"/>
          <w:lang w:val="ms-MY"/>
        </w:rPr>
        <w:t>;</w:t>
      </w:r>
      <w:r w:rsidRPr="00430E46">
        <w:rPr>
          <w:spacing w:val="-4"/>
          <w:highlight w:val="white"/>
          <w:lang w:val="ms-MY"/>
        </w:rPr>
        <w:t xml:space="preserve"> </w:t>
      </w:r>
    </w:p>
    <w:p w14:paraId="1572F657" w14:textId="77777777" w:rsidR="007B3472" w:rsidRDefault="007B3472" w:rsidP="00C729B5">
      <w:pPr>
        <w:spacing w:before="120" w:after="120"/>
        <w:ind w:firstLine="567"/>
        <w:jc w:val="both"/>
        <w:rPr>
          <w:spacing w:val="-2"/>
          <w:highlight w:val="white"/>
          <w:lang w:val="ms-MY"/>
        </w:rPr>
      </w:pPr>
      <w:r w:rsidRPr="00430E46">
        <w:rPr>
          <w:spacing w:val="-4"/>
          <w:highlight w:val="white"/>
          <w:lang w:val="ms-MY"/>
        </w:rPr>
        <w:t xml:space="preserve">Thực hiện </w:t>
      </w:r>
      <w:r w:rsidRPr="00430E46">
        <w:rPr>
          <w:highlight w:val="white"/>
          <w:lang w:val="ms-MY"/>
        </w:rPr>
        <w:t>q</w:t>
      </w:r>
      <w:r w:rsidRPr="00430E46">
        <w:rPr>
          <w:spacing w:val="-2"/>
          <w:highlight w:val="white"/>
          <w:lang w:val="ms-MY"/>
        </w:rPr>
        <w:t xml:space="preserve">uy định tại khoản </w:t>
      </w:r>
      <w:r w:rsidRPr="00430E46">
        <w:rPr>
          <w:spacing w:val="-2"/>
          <w:highlight w:val="white"/>
          <w:lang w:val="vi-VN"/>
        </w:rPr>
        <w:t>3</w:t>
      </w:r>
      <w:r w:rsidRPr="00430E46">
        <w:rPr>
          <w:spacing w:val="-2"/>
          <w:highlight w:val="white"/>
          <w:lang w:val="ms-MY"/>
        </w:rPr>
        <w:t xml:space="preserve"> Điều 8 Nghị định số </w:t>
      </w:r>
      <w:r w:rsidRPr="00430E46">
        <w:rPr>
          <w:spacing w:val="-2"/>
          <w:highlight w:val="white"/>
          <w:lang w:val="vi-VN"/>
        </w:rPr>
        <w:t>149/2016/NĐ-CP</w:t>
      </w:r>
      <w:r w:rsidRPr="00430E46">
        <w:rPr>
          <w:spacing w:val="-2"/>
          <w:highlight w:val="white"/>
          <w:lang w:val="ms-MY"/>
        </w:rPr>
        <w:t xml:space="preserve"> ngày 11/11/2016 của Chính phủ </w:t>
      </w:r>
      <w:r w:rsidRPr="00430E46">
        <w:rPr>
          <w:iCs/>
          <w:spacing w:val="-2"/>
          <w:highlight w:val="white"/>
          <w:lang w:val="vi-VN"/>
        </w:rPr>
        <w:t>sửa đổi, bổ sung một số điều của Nghị định số 177/2013/NĐ-CP ngày 14</w:t>
      </w:r>
      <w:r w:rsidRPr="00430E46">
        <w:rPr>
          <w:iCs/>
          <w:spacing w:val="-2"/>
          <w:highlight w:val="white"/>
          <w:shd w:val="solid" w:color="FFFFFF" w:fill="auto"/>
          <w:lang w:val="ms-MY"/>
        </w:rPr>
        <w:t>/</w:t>
      </w:r>
      <w:r w:rsidRPr="00430E46">
        <w:rPr>
          <w:iCs/>
          <w:spacing w:val="-2"/>
          <w:highlight w:val="white"/>
          <w:lang w:val="vi-VN"/>
        </w:rPr>
        <w:t>11</w:t>
      </w:r>
      <w:r w:rsidRPr="00430E46">
        <w:rPr>
          <w:iCs/>
          <w:spacing w:val="-2"/>
          <w:highlight w:val="white"/>
          <w:lang w:val="ms-MY"/>
        </w:rPr>
        <w:t>/</w:t>
      </w:r>
      <w:r w:rsidRPr="00430E46">
        <w:rPr>
          <w:iCs/>
          <w:spacing w:val="-2"/>
          <w:highlight w:val="white"/>
          <w:lang w:val="vi-VN"/>
        </w:rPr>
        <w:t xml:space="preserve">2013 của </w:t>
      </w:r>
      <w:r w:rsidRPr="00430E46">
        <w:rPr>
          <w:iCs/>
          <w:spacing w:val="-2"/>
          <w:highlight w:val="white"/>
          <w:shd w:val="solid" w:color="FFFFFF" w:fill="auto"/>
          <w:lang w:val="vi-VN"/>
        </w:rPr>
        <w:t>Chính phủ</w:t>
      </w:r>
      <w:r w:rsidRPr="00430E46">
        <w:rPr>
          <w:iCs/>
          <w:spacing w:val="-2"/>
          <w:highlight w:val="white"/>
          <w:lang w:val="vi-VN"/>
        </w:rPr>
        <w:t xml:space="preserve"> quy định chi tiết và hướng dẫn thi hành một s</w:t>
      </w:r>
      <w:r w:rsidRPr="00430E46">
        <w:rPr>
          <w:iCs/>
          <w:spacing w:val="-2"/>
          <w:highlight w:val="white"/>
          <w:lang w:val="ms-MY"/>
        </w:rPr>
        <w:t xml:space="preserve">ố </w:t>
      </w:r>
      <w:r w:rsidRPr="00430E46">
        <w:rPr>
          <w:iCs/>
          <w:spacing w:val="-2"/>
          <w:highlight w:val="white"/>
          <w:lang w:val="vi-VN"/>
        </w:rPr>
        <w:t xml:space="preserve">điều của </w:t>
      </w:r>
      <w:r w:rsidRPr="00430E46">
        <w:rPr>
          <w:iCs/>
          <w:spacing w:val="-2"/>
          <w:highlight w:val="white"/>
          <w:u w:color="FF0000"/>
          <w:lang w:val="vi-VN"/>
        </w:rPr>
        <w:t>Luật gi</w:t>
      </w:r>
      <w:r w:rsidRPr="00430E46">
        <w:rPr>
          <w:iCs/>
          <w:spacing w:val="-2"/>
          <w:highlight w:val="white"/>
          <w:u w:color="FF0000"/>
          <w:lang w:val="ms-MY"/>
        </w:rPr>
        <w:t>á</w:t>
      </w:r>
      <w:r w:rsidRPr="00430E46">
        <w:rPr>
          <w:iCs/>
          <w:spacing w:val="-2"/>
          <w:highlight w:val="white"/>
          <w:lang w:val="ms-MY"/>
        </w:rPr>
        <w:t>:</w:t>
      </w:r>
      <w:r w:rsidRPr="00430E46">
        <w:rPr>
          <w:i/>
          <w:spacing w:val="-2"/>
          <w:highlight w:val="white"/>
          <w:lang w:val="vi-VN"/>
        </w:rPr>
        <w:t xml:space="preserve"> </w:t>
      </w:r>
      <w:r w:rsidRPr="00430E46">
        <w:rPr>
          <w:i/>
          <w:spacing w:val="-2"/>
          <w:highlight w:val="white"/>
          <w:lang w:val="ms-MY"/>
        </w:rPr>
        <w:t>“</w:t>
      </w:r>
      <w:r w:rsidRPr="00430E46">
        <w:rPr>
          <w:i/>
          <w:spacing w:val="-2"/>
          <w:highlight w:val="white"/>
          <w:lang w:val="vi-VN"/>
        </w:rPr>
        <w:t>Hội đồng nhân dân cấp tỉnh quy định giá thuộc phạm vi quản lý của địa phương theo quy định của pháp luật đối với:</w:t>
      </w:r>
      <w:r w:rsidRPr="00430E46">
        <w:rPr>
          <w:i/>
          <w:spacing w:val="-2"/>
          <w:highlight w:val="white"/>
          <w:lang w:val="ms-MY"/>
        </w:rPr>
        <w:t>...</w:t>
      </w:r>
      <w:r w:rsidRPr="00430E46">
        <w:rPr>
          <w:i/>
          <w:spacing w:val="-2"/>
          <w:highlight w:val="white"/>
          <w:lang w:val="vi-VN"/>
        </w:rPr>
        <w:t xml:space="preserve"> dịch vụ giáo dục mầm non và giáo dục ph</w:t>
      </w:r>
      <w:r w:rsidRPr="00430E46">
        <w:rPr>
          <w:i/>
          <w:spacing w:val="-2"/>
          <w:highlight w:val="white"/>
          <w:lang w:val="ms-MY"/>
        </w:rPr>
        <w:t xml:space="preserve">ổ </w:t>
      </w:r>
      <w:r w:rsidRPr="00430E46">
        <w:rPr>
          <w:i/>
          <w:spacing w:val="-2"/>
          <w:highlight w:val="white"/>
          <w:lang w:val="vi-VN"/>
        </w:rPr>
        <w:t>thông công lập (học phí)</w:t>
      </w:r>
      <w:r w:rsidRPr="00430E46">
        <w:rPr>
          <w:i/>
          <w:spacing w:val="-2"/>
          <w:highlight w:val="white"/>
          <w:lang w:val="ms-MY"/>
        </w:rPr>
        <w:t>”</w:t>
      </w:r>
      <w:r w:rsidRPr="00430E46">
        <w:rPr>
          <w:spacing w:val="-2"/>
          <w:highlight w:val="white"/>
          <w:lang w:val="ms-MY"/>
        </w:rPr>
        <w:t>;</w:t>
      </w:r>
    </w:p>
    <w:p w14:paraId="76612485" w14:textId="77777777" w:rsidR="000F5A85" w:rsidRPr="00430E46" w:rsidRDefault="000F5A85" w:rsidP="000F5A85">
      <w:pPr>
        <w:spacing w:before="60" w:after="60" w:line="276" w:lineRule="auto"/>
        <w:ind w:firstLine="709"/>
        <w:jc w:val="both"/>
        <w:rPr>
          <w:i/>
          <w:spacing w:val="-2"/>
          <w:highlight w:val="white"/>
          <w:lang w:val="ms-MY"/>
        </w:rPr>
      </w:pPr>
      <w:r w:rsidRPr="00430E46">
        <w:rPr>
          <w:spacing w:val="-4"/>
          <w:highlight w:val="white"/>
          <w:lang w:val="ms-MY"/>
        </w:rPr>
        <w:t xml:space="preserve">Thực hiện </w:t>
      </w:r>
      <w:r w:rsidRPr="005D6EB2">
        <w:rPr>
          <w:bCs/>
          <w:lang w:val="ms-MY"/>
        </w:rPr>
        <w:t>Khoản 3 Điều 4</w:t>
      </w:r>
      <w:r w:rsidRPr="005D6EB2">
        <w:rPr>
          <w:b/>
          <w:bCs/>
          <w:lang w:val="ms-MY"/>
        </w:rPr>
        <w:t xml:space="preserve"> </w:t>
      </w:r>
      <w:r w:rsidRPr="005D6EB2">
        <w:rPr>
          <w:lang w:val="ms-MY"/>
        </w:rPr>
        <w:t>Nghị định số 81/2021/NĐ-CP ngày 27 tháng 8 năm 2021 quy định về cơ chế thu, quản lý học phí đối với cơ sở giáo dục thuộc hệ thống giáo dục quốc dân và chính sách miễn, giảm học phí, hỗ trợ chi phí học tập; giá dịch vụ trong lĩnh vực giáo dục, đào tạo quy định</w:t>
      </w:r>
      <w:r w:rsidRPr="005D6EB2">
        <w:rPr>
          <w:b/>
          <w:bCs/>
          <w:lang w:val="ms-MY"/>
        </w:rPr>
        <w:t xml:space="preserve"> </w:t>
      </w:r>
      <w:r w:rsidRPr="005D6EB2">
        <w:rPr>
          <w:b/>
          <w:bCs/>
          <w:i/>
          <w:lang w:val="ms-MY"/>
        </w:rPr>
        <w:t>“</w:t>
      </w:r>
      <w:r w:rsidRPr="005D6EB2">
        <w:rPr>
          <w:i/>
          <w:color w:val="000000"/>
          <w:lang w:val="ms-MY"/>
        </w:rPr>
        <w:t xml:space="preserve">3. </w:t>
      </w:r>
      <w:r w:rsidRPr="00A2562C">
        <w:rPr>
          <w:i/>
          <w:color w:val="000000"/>
          <w:u w:val="single"/>
          <w:lang w:val="vi-VN"/>
        </w:rPr>
        <w:t>Ủy ban nhân dân cấp tỉnh thực hiện quản lý nhà nước về học phí, giá các dịch vụ khác trong lĩnh vực giáo dục, đào tạo</w:t>
      </w:r>
      <w:r w:rsidRPr="00A2562C">
        <w:rPr>
          <w:i/>
          <w:color w:val="000000"/>
          <w:lang w:val="vi-VN"/>
        </w:rPr>
        <w:t xml:space="preserve">; ban hành định mức kinh tế - kỹ thuật, định mức chi phí áp dụng trong lĩnh vực giáo dục, đào tạo đối với các dịch vụ chưa ban hành định mức kinh tế - kỹ thuật thuộc thẩm quyền quản lý của địa phương; quyết định phương thức giao nhiệm vụ, đặt hàng, đấu thầu cung cấp sản phẩm, dịch vụ trong lĩnh vực giáo dục, đào tạo; quyết định giá đặt hàng dịch vụ trong lĩnh vực giáo dục, đào tạo thuộc danh mục dịch vụ công sử dụng ngân sách thuộc thẩm quyền quản lý của địa phương, </w:t>
      </w:r>
      <w:r w:rsidRPr="00A2562C">
        <w:rPr>
          <w:i/>
          <w:color w:val="000000"/>
          <w:u w:val="single"/>
          <w:lang w:val="vi-VN"/>
        </w:rPr>
        <w:t>Ủy ban nhân dân cấp tỉnh trình Hội đồng nhân dân cấp tỉnh quyết định khung hoặc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r w:rsidRPr="005D6EB2">
        <w:rPr>
          <w:i/>
          <w:color w:val="000000"/>
          <w:lang w:val="ms-MY"/>
        </w:rPr>
        <w:t>”</w:t>
      </w:r>
      <w:r w:rsidRPr="00A2562C">
        <w:rPr>
          <w:i/>
          <w:color w:val="000000"/>
          <w:lang w:val="vi-VN"/>
        </w:rPr>
        <w:t>.</w:t>
      </w:r>
    </w:p>
    <w:p w14:paraId="07C2F602" w14:textId="77777777" w:rsidR="0009699F" w:rsidRPr="00430E46" w:rsidRDefault="0009699F" w:rsidP="00C729B5">
      <w:pPr>
        <w:pStyle w:val="BodyTextIndent3"/>
        <w:spacing w:before="120"/>
        <w:ind w:left="0" w:firstLine="709"/>
        <w:jc w:val="both"/>
        <w:rPr>
          <w:sz w:val="28"/>
          <w:szCs w:val="28"/>
          <w:lang w:val="ms-MY"/>
        </w:rPr>
      </w:pPr>
      <w:r w:rsidRPr="00430E46">
        <w:rPr>
          <w:sz w:val="28"/>
          <w:szCs w:val="28"/>
          <w:lang w:val="ms-MY"/>
        </w:rPr>
        <w:t>Thành phố Hồ Chí Minh là một địa phương quan tâm tốt đến giáo dục và đào tạo, tỷ lệ đầu tư ngân sách c</w:t>
      </w:r>
      <w:r>
        <w:rPr>
          <w:sz w:val="28"/>
          <w:szCs w:val="28"/>
          <w:lang w:val="ms-MY"/>
        </w:rPr>
        <w:t>hi thường xuyên hằng năm hơn 20</w:t>
      </w:r>
      <w:r w:rsidRPr="00430E46">
        <w:rPr>
          <w:sz w:val="28"/>
          <w:szCs w:val="28"/>
          <w:lang w:val="ms-MY"/>
        </w:rPr>
        <w:t>% nhưng vẫn chỉ đảm bảo cơ bản chế độ cho đội n</w:t>
      </w:r>
      <w:r>
        <w:rPr>
          <w:sz w:val="28"/>
          <w:szCs w:val="28"/>
          <w:lang w:val="ms-MY"/>
        </w:rPr>
        <w:t>gũ còn tỷ lệ đầu tư cho cơ sở vật</w:t>
      </w:r>
      <w:r w:rsidRPr="00430E46">
        <w:rPr>
          <w:sz w:val="28"/>
          <w:szCs w:val="28"/>
          <w:lang w:val="ms-MY"/>
        </w:rPr>
        <w:t xml:space="preserve"> chất và hoạt động chuyên môn rất khiêm tốn, đòi hỏi phải giải quyết từ học phí mới có thể đáp ứng được yêu cầu đổi mới, phát triển và hội nhập hiện nay.</w:t>
      </w:r>
    </w:p>
    <w:p w14:paraId="5D646F96" w14:textId="77777777" w:rsidR="008C2E15" w:rsidRDefault="0009699F" w:rsidP="00C729B5">
      <w:pPr>
        <w:spacing w:before="120" w:after="120"/>
        <w:ind w:firstLine="650"/>
        <w:jc w:val="both"/>
        <w:rPr>
          <w:lang w:val="ms-MY"/>
        </w:rPr>
      </w:pPr>
      <w:r w:rsidRPr="00430E46">
        <w:rPr>
          <w:lang w:val="ms-MY"/>
        </w:rPr>
        <w:t xml:space="preserve">Nghị định số </w:t>
      </w:r>
      <w:r w:rsidRPr="00430E46">
        <w:rPr>
          <w:highlight w:val="white"/>
          <w:lang w:val="ms-MY"/>
        </w:rPr>
        <w:t xml:space="preserve">81/2021/NĐ-CP </w:t>
      </w:r>
      <w:r w:rsidRPr="001D3A7C">
        <w:rPr>
          <w:lang w:val="pt-BR"/>
        </w:rPr>
        <w:t>ngày 27 tháng 08 năm 2021 của Chính phủ</w:t>
      </w:r>
      <w:r w:rsidR="008C2E15">
        <w:rPr>
          <w:lang w:val="pt-BR"/>
        </w:rPr>
        <w:t xml:space="preserve"> </w:t>
      </w:r>
      <w:r w:rsidR="008C2E15" w:rsidRPr="008C2E15">
        <w:rPr>
          <w:lang w:val="ms-MY"/>
        </w:rPr>
        <w:t xml:space="preserve">thay thế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và Nghị định số 145/2018/NĐ-CP ngày 16 tháng 10 năm 2018 của Chính phủ sửa đổi, bổ sung một số điều của Nghị định số 86/2015/NĐ-CP ngày 02 tháng 10 năm 2015 của Chính phủ quy định về cơ chế thu, quản lý học phí đối với cơ sở giáo dục thuộc hệ thống giáo dục quốc dân và chính sách miễn, </w:t>
      </w:r>
      <w:r w:rsidR="008C2E15" w:rsidRPr="008C2E15">
        <w:rPr>
          <w:lang w:val="ms-MY"/>
        </w:rPr>
        <w:lastRenderedPageBreak/>
        <w:t xml:space="preserve">giảm học phí, hỗ trợ chi phí học tập từ năm học 2015 - 2016 đến năm học 2020 </w:t>
      </w:r>
      <w:r w:rsidR="008C2E15">
        <w:rPr>
          <w:lang w:val="ms-MY"/>
        </w:rPr>
        <w:t>–</w:t>
      </w:r>
      <w:r w:rsidR="008C2E15" w:rsidRPr="008C2E15">
        <w:rPr>
          <w:lang w:val="ms-MY"/>
        </w:rPr>
        <w:t xml:space="preserve"> 2021</w:t>
      </w:r>
      <w:r w:rsidR="008C2E15">
        <w:rPr>
          <w:lang w:val="pt-BR"/>
        </w:rPr>
        <w:t>, có hiệu lực và</w:t>
      </w:r>
      <w:r w:rsidRPr="00430E46">
        <w:rPr>
          <w:iCs/>
          <w:lang w:val="ms-MY"/>
        </w:rPr>
        <w:t xml:space="preserve"> </w:t>
      </w:r>
      <w:r w:rsidRPr="00430E46">
        <w:rPr>
          <w:lang w:val="ms-MY"/>
        </w:rPr>
        <w:t>đã đi vào cuộc sống</w:t>
      </w:r>
      <w:r w:rsidR="008C2E15">
        <w:rPr>
          <w:lang w:val="ms-MY"/>
        </w:rPr>
        <w:t xml:space="preserve"> từ ngày 15 tháng 10 năm 2021.</w:t>
      </w:r>
      <w:r w:rsidRPr="00430E46">
        <w:rPr>
          <w:lang w:val="ms-MY"/>
        </w:rPr>
        <w:t xml:space="preserve"> </w:t>
      </w:r>
      <w:r w:rsidR="008C2E15">
        <w:rPr>
          <w:iCs/>
          <w:shd w:val="clear" w:color="auto" w:fill="FFFFFF"/>
          <w:lang w:val="ms-MY"/>
        </w:rPr>
        <w:t>V</w:t>
      </w:r>
      <w:r w:rsidR="008C2E15" w:rsidRPr="00430E46">
        <w:rPr>
          <w:lang w:val="ms-MY"/>
        </w:rPr>
        <w:t>iệc thu học phí góp phần tăng nguồn thu cho các cơ sở giáo dục và đào tạo, khuyến khích và luôn tạo điều kiện cho học sinh thuộc các diện chính sách có điều kiện được đi học, tạo được đồng thuận của các tầng lớp xã hội.</w:t>
      </w:r>
    </w:p>
    <w:p w14:paraId="7119A48E" w14:textId="77777777" w:rsidR="00B762E9" w:rsidRDefault="00B762E9" w:rsidP="00B762E9">
      <w:pPr>
        <w:spacing w:before="120" w:after="120"/>
        <w:ind w:firstLine="650"/>
        <w:jc w:val="both"/>
        <w:rPr>
          <w:lang w:val="ms-MY"/>
        </w:rPr>
      </w:pPr>
      <w:r w:rsidRPr="00B762E9">
        <w:rPr>
          <w:lang w:val="ms-MY"/>
        </w:rPr>
        <w:t xml:space="preserve">Ngày 09 tháng 12 năm 2021, Hội đồng nhân dân thành phố ban hành Nghị quyết số 28/2021/NQ-HĐND quy định mức học phí đối với giáo dục mầm non, giáo dục phổ thông công lập năm học 2021-2022 trên địa bàn Thành phố Hồ Chí Minh có hiệu lực từ ngày 19 tháng 12 năm 2021. </w:t>
      </w:r>
      <w:r>
        <w:rPr>
          <w:lang w:val="ms-MY"/>
        </w:rPr>
        <w:t>Hiện nay, năm học 2021-2022 sắp kết thúc</w:t>
      </w:r>
      <w:r>
        <w:rPr>
          <w:rStyle w:val="FootnoteReference"/>
          <w:lang w:val="ms-MY"/>
        </w:rPr>
        <w:footnoteReference w:id="1"/>
      </w:r>
      <w:r w:rsidR="00B20CC2">
        <w:rPr>
          <w:lang w:val="ms-MY"/>
        </w:rPr>
        <w:t>, công tác tuyển sinh và chuẩn bị cho năm học mới 2022-2023 đang được bắt đầu</w:t>
      </w:r>
      <w:r w:rsidR="0089175A">
        <w:rPr>
          <w:lang w:val="ms-MY"/>
        </w:rPr>
        <w:t xml:space="preserve"> tiến hành</w:t>
      </w:r>
      <w:r w:rsidR="00B20CC2">
        <w:rPr>
          <w:lang w:val="ms-MY"/>
        </w:rPr>
        <w:t xml:space="preserve">. Thành phố </w:t>
      </w:r>
      <w:r w:rsidR="0067718B">
        <w:rPr>
          <w:lang w:val="ms-MY"/>
        </w:rPr>
        <w:t>cần</w:t>
      </w:r>
      <w:r w:rsidR="00B20CC2">
        <w:rPr>
          <w:lang w:val="ms-MY"/>
        </w:rPr>
        <w:t xml:space="preserve"> ban hành quy định </w:t>
      </w:r>
      <w:r w:rsidR="00B20CC2" w:rsidRPr="00B20CC2">
        <w:rPr>
          <w:lang w:val="ms-MY"/>
        </w:rPr>
        <w:t>mức học phí đối với giáo dục mầm non, giáo dục phổ thông công lập từ năm học 2022-2023 và các năm học tiếp theo trên địa bàn</w:t>
      </w:r>
      <w:r w:rsidR="0067718B">
        <w:rPr>
          <w:lang w:val="ms-MY"/>
        </w:rPr>
        <w:t>.</w:t>
      </w:r>
      <w:r w:rsidR="00B20CC2" w:rsidRPr="00B20CC2">
        <w:rPr>
          <w:lang w:val="ms-MY"/>
        </w:rPr>
        <w:t xml:space="preserve"> </w:t>
      </w:r>
    </w:p>
    <w:p w14:paraId="7FCADE55" w14:textId="77777777" w:rsidR="008C2E15" w:rsidRDefault="00C15B16" w:rsidP="00C729B5">
      <w:pPr>
        <w:spacing w:before="120" w:after="120"/>
        <w:ind w:firstLine="650"/>
        <w:jc w:val="both"/>
        <w:rPr>
          <w:lang w:val="ms-MY"/>
        </w:rPr>
      </w:pPr>
      <w:r w:rsidRPr="00C15B16">
        <w:rPr>
          <w:lang w:val="ms-MY"/>
        </w:rPr>
        <w:t xml:space="preserve">Khung học phí theo quy định tại Nghị định số 81/2021/NĐ-CP ngày 27 tháng 8 năm 2021 của Chính phủ dựa trên phù hợp với điều kiện kinh tế của từng địa bàn dân cư, khả năng đóng góp thực tế của người dân và tốc độ tăng chỉ số giá tiêu dùng hàng năm hợp lý, tỷ trọng ngân sách đầu tư so với mức thu học phí không tăng do vậy việc điều chỉnh mức học phí theo Nghị định số 81/2021/NĐ-CP ngày 27 tháng 8 năm 2021 của Chính phủ là góp phần với ngân sách nhà nước nhằm nâng cao mức đầu tư trên mỗi học sinh, ngoài ra còn có tác dụng điều tiết ngân sách đầu tư nhiều hơn ở vùng khó khăn, thực hiện tốt tính công bằng trong hệ thống giáo dục. Giải quyết sự bất hợp lý kéo dài về cơ cấu học phí và giá trị đầu tư xã hội đã nhiều lần thay đổi trong nhiều năm qua. </w:t>
      </w:r>
      <w:r w:rsidR="00CC0CAA">
        <w:rPr>
          <w:lang w:val="ms-MY"/>
        </w:rPr>
        <w:t xml:space="preserve"> </w:t>
      </w:r>
    </w:p>
    <w:p w14:paraId="24C061BC" w14:textId="77777777" w:rsidR="00C15B16" w:rsidRPr="00754703" w:rsidRDefault="00295745" w:rsidP="00C729B5">
      <w:pPr>
        <w:spacing w:before="120" w:after="120"/>
        <w:ind w:firstLine="650"/>
        <w:jc w:val="both"/>
        <w:rPr>
          <w:b/>
          <w:color w:val="000000"/>
          <w:lang w:val="ms-MY"/>
        </w:rPr>
      </w:pPr>
      <w:r>
        <w:rPr>
          <w:lang w:val="ms-MY"/>
        </w:rPr>
        <w:t>Tuy nhiên, t</w:t>
      </w:r>
      <w:r w:rsidRPr="00295745">
        <w:rPr>
          <w:lang w:val="ms-MY"/>
        </w:rPr>
        <w:t>rong bối cảnh tình hình đất nước đã có nhiề</w:t>
      </w:r>
      <w:r>
        <w:rPr>
          <w:lang w:val="ms-MY"/>
        </w:rPr>
        <w:t xml:space="preserve">u chuyển biến lớn về </w:t>
      </w:r>
      <w:r w:rsidRPr="00295745">
        <w:rPr>
          <w:lang w:val="ms-MY"/>
        </w:rPr>
        <w:t>kinh tế - xã hội</w:t>
      </w:r>
      <w:r>
        <w:rPr>
          <w:lang w:val="ms-MY"/>
        </w:rPr>
        <w:t>, t</w:t>
      </w:r>
      <w:r w:rsidRPr="0009699F">
        <w:rPr>
          <w:lang w:val="ms-MY"/>
        </w:rPr>
        <w:t xml:space="preserve">rước </w:t>
      </w:r>
      <w:r w:rsidR="0067718B">
        <w:rPr>
          <w:lang w:val="ms-MY"/>
        </w:rPr>
        <w:t xml:space="preserve">ảnh hưởng của </w:t>
      </w:r>
      <w:r w:rsidRPr="0009699F">
        <w:rPr>
          <w:lang w:val="ms-MY"/>
        </w:rPr>
        <w:t xml:space="preserve">dịch bệnh COVID-19 </w:t>
      </w:r>
      <w:r w:rsidR="0067718B">
        <w:rPr>
          <w:lang w:val="ms-MY"/>
        </w:rPr>
        <w:t>đến đời sống kinh tế của người dân thành phố trong thời gian vừa qua</w:t>
      </w:r>
      <w:r>
        <w:rPr>
          <w:lang w:val="ms-MY"/>
        </w:rPr>
        <w:t xml:space="preserve">, </w:t>
      </w:r>
      <w:r w:rsidRPr="001D3A7C">
        <w:rPr>
          <w:iCs/>
          <w:lang w:val="vi-VN"/>
        </w:rPr>
        <w:t xml:space="preserve">quy định về </w:t>
      </w:r>
      <w:r w:rsidR="00D60BA8" w:rsidRPr="00D60BA8">
        <w:rPr>
          <w:iCs/>
          <w:lang w:val="vi-VN"/>
        </w:rPr>
        <w:t>mức học phí đối với giáo dục mầm non, giáo dục phổ thông công lập từ năm học 2022-2023 và các năm học tiếp theo</w:t>
      </w:r>
      <w:r w:rsidRPr="001D3A7C">
        <w:rPr>
          <w:iCs/>
          <w:lang w:val="vi-VN"/>
        </w:rPr>
        <w:t xml:space="preserve"> theo </w:t>
      </w:r>
      <w:r w:rsidRPr="001D3A7C">
        <w:rPr>
          <w:lang w:val="pt-BR"/>
        </w:rPr>
        <w:t>Nghị định số 81/2021/NĐ-CP ngày 27 tháng 08 năm 2021 của Chính phủ</w:t>
      </w:r>
      <w:r w:rsidRPr="00754703">
        <w:rPr>
          <w:bCs/>
          <w:color w:val="000000"/>
          <w:lang w:val="ms-MY"/>
        </w:rPr>
        <w:t xml:space="preserve"> có một số hạn chế</w:t>
      </w:r>
      <w:r w:rsidR="000F5A85">
        <w:rPr>
          <w:bCs/>
          <w:color w:val="000000"/>
          <w:lang w:val="ms-MY"/>
        </w:rPr>
        <w:t xml:space="preserve">. </w:t>
      </w:r>
    </w:p>
    <w:p w14:paraId="037230B5" w14:textId="77777777" w:rsidR="001E3C5F" w:rsidRPr="008E197F" w:rsidRDefault="001E3C5F" w:rsidP="00C729B5">
      <w:pPr>
        <w:pStyle w:val="05NidungVB"/>
        <w:tabs>
          <w:tab w:val="left" w:pos="851"/>
        </w:tabs>
        <w:spacing w:before="120" w:line="240" w:lineRule="auto"/>
        <w:rPr>
          <w:b/>
          <w:color w:val="000000"/>
        </w:rPr>
      </w:pPr>
      <w:r w:rsidRPr="008E197F">
        <w:rPr>
          <w:b/>
          <w:color w:val="000000"/>
        </w:rPr>
        <w:t xml:space="preserve">2. Mục tiêu xây dựng </w:t>
      </w:r>
      <w:r w:rsidRPr="008E197F">
        <w:rPr>
          <w:b/>
          <w:color w:val="000000"/>
          <w:lang w:val="nb-NO"/>
        </w:rPr>
        <w:t>chính</w:t>
      </w:r>
      <w:r w:rsidRPr="008E197F">
        <w:rPr>
          <w:b/>
          <w:color w:val="000000"/>
        </w:rPr>
        <w:t xml:space="preserve"> sách</w:t>
      </w:r>
    </w:p>
    <w:p w14:paraId="4EC34733" w14:textId="77777777" w:rsidR="001E3C5F" w:rsidRDefault="00C15B16" w:rsidP="00C729B5">
      <w:pPr>
        <w:pStyle w:val="NormalWeb"/>
        <w:shd w:val="clear" w:color="auto" w:fill="FFFFFF"/>
        <w:spacing w:before="120" w:beforeAutospacing="0" w:after="120" w:afterAutospacing="0"/>
        <w:ind w:firstLine="567"/>
        <w:jc w:val="both"/>
        <w:rPr>
          <w:sz w:val="28"/>
          <w:szCs w:val="28"/>
        </w:rPr>
      </w:pPr>
      <w:r w:rsidRPr="00C15B16">
        <w:rPr>
          <w:sz w:val="28"/>
          <w:szCs w:val="28"/>
        </w:rPr>
        <w:t>Thực hiện đúng theo quy định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348F5941" w14:textId="77777777" w:rsidR="00C15B16" w:rsidRPr="00C15B16" w:rsidRDefault="00C15B16" w:rsidP="00C729B5">
      <w:pPr>
        <w:pStyle w:val="NormalWeb"/>
        <w:shd w:val="clear" w:color="auto" w:fill="FFFFFF"/>
        <w:spacing w:before="120" w:beforeAutospacing="0" w:after="120" w:afterAutospacing="0"/>
        <w:ind w:firstLine="567"/>
        <w:jc w:val="both"/>
        <w:rPr>
          <w:sz w:val="28"/>
          <w:szCs w:val="28"/>
        </w:rPr>
      </w:pPr>
      <w:r w:rsidRPr="00C15B16">
        <w:rPr>
          <w:sz w:val="28"/>
          <w:szCs w:val="28"/>
        </w:rPr>
        <w:t>Việc xây dựng mức học phí mới</w:t>
      </w:r>
      <w:r w:rsidR="00926798">
        <w:rPr>
          <w:sz w:val="28"/>
          <w:szCs w:val="28"/>
        </w:rPr>
        <w:t xml:space="preserve"> </w:t>
      </w:r>
      <w:r w:rsidRPr="00C15B16">
        <w:rPr>
          <w:sz w:val="28"/>
          <w:szCs w:val="28"/>
        </w:rPr>
        <w:t xml:space="preserve">góp phần thực hiện tốt hơn công bằng trong giáo dục, đảm bảo sự bình đẳng trong việc đóng góp của các gia đình và người học và điều chỉnh cơ cấu chi ngân sách, tạo sự bình đẳng về cơ hội học tập trong xã hội. </w:t>
      </w:r>
      <w:r w:rsidRPr="00C15B16">
        <w:rPr>
          <w:sz w:val="28"/>
          <w:szCs w:val="28"/>
        </w:rPr>
        <w:lastRenderedPageBreak/>
        <w:t xml:space="preserve">Huy động sức dân cùng với nhà nước chăm lo sự nghiệp giáo dục và đào tạo và thực hiện chế độ miễn giảm, hỗ trợ chi phí học tập cho học sinh, sinh viên. </w:t>
      </w:r>
    </w:p>
    <w:p w14:paraId="7A5FD166" w14:textId="77777777" w:rsidR="001E3C5F" w:rsidRPr="008E197F" w:rsidRDefault="001E3C5F" w:rsidP="00C729B5">
      <w:pPr>
        <w:pStyle w:val="NormalWeb"/>
        <w:shd w:val="clear" w:color="auto" w:fill="FFFFFF"/>
        <w:spacing w:before="120" w:beforeAutospacing="0" w:after="120" w:afterAutospacing="0"/>
        <w:ind w:firstLine="567"/>
        <w:rPr>
          <w:b/>
          <w:bCs/>
          <w:color w:val="000000"/>
          <w:sz w:val="28"/>
          <w:szCs w:val="28"/>
        </w:rPr>
      </w:pPr>
      <w:r w:rsidRPr="008E197F">
        <w:rPr>
          <w:b/>
          <w:bCs/>
          <w:color w:val="000000"/>
          <w:sz w:val="28"/>
          <w:szCs w:val="28"/>
        </w:rPr>
        <w:t>II. ĐÁNH GIÁ TÁC ĐỘNG CỦA CHÍNH SÁCH</w:t>
      </w:r>
    </w:p>
    <w:p w14:paraId="48F13E80" w14:textId="77777777" w:rsidR="001E3C5F" w:rsidRPr="008E197F" w:rsidRDefault="005D23D0" w:rsidP="00C729B5">
      <w:pPr>
        <w:pStyle w:val="NormalWeb"/>
        <w:numPr>
          <w:ilvl w:val="0"/>
          <w:numId w:val="4"/>
        </w:numPr>
        <w:shd w:val="clear" w:color="auto" w:fill="FFFFFF"/>
        <w:tabs>
          <w:tab w:val="left" w:pos="851"/>
        </w:tabs>
        <w:spacing w:before="120" w:beforeAutospacing="0" w:after="120" w:afterAutospacing="0"/>
        <w:ind w:left="0" w:firstLine="567"/>
        <w:jc w:val="both"/>
        <w:rPr>
          <w:b/>
          <w:color w:val="000000"/>
          <w:sz w:val="28"/>
          <w:szCs w:val="28"/>
        </w:rPr>
      </w:pPr>
      <w:r>
        <w:rPr>
          <w:b/>
          <w:color w:val="000000"/>
          <w:sz w:val="28"/>
          <w:szCs w:val="28"/>
        </w:rPr>
        <w:t>Xác định v</w:t>
      </w:r>
      <w:r w:rsidR="001E3C5F" w:rsidRPr="008E197F">
        <w:rPr>
          <w:b/>
          <w:color w:val="000000"/>
          <w:sz w:val="28"/>
          <w:szCs w:val="28"/>
        </w:rPr>
        <w:t>ấn đề bất cập</w:t>
      </w:r>
    </w:p>
    <w:p w14:paraId="69F7857F" w14:textId="77777777" w:rsidR="001E3C5F" w:rsidRDefault="00393D1E" w:rsidP="00C729B5">
      <w:pPr>
        <w:pStyle w:val="NormalWeb"/>
        <w:shd w:val="clear" w:color="auto" w:fill="FFFFFF"/>
        <w:spacing w:before="120" w:beforeAutospacing="0" w:after="120" w:afterAutospacing="0"/>
        <w:ind w:firstLine="567"/>
        <w:jc w:val="both"/>
        <w:rPr>
          <w:rFonts w:eastAsia="Batang"/>
          <w:sz w:val="28"/>
          <w:szCs w:val="28"/>
          <w:lang w:val="nb-NO" w:eastAsia="ko-KR"/>
        </w:rPr>
      </w:pPr>
      <w:r w:rsidRPr="00393D1E">
        <w:rPr>
          <w:rFonts w:eastAsia="Batang"/>
          <w:sz w:val="28"/>
          <w:szCs w:val="28"/>
          <w:lang w:val="nb-NO" w:eastAsia="ko-KR"/>
        </w:rPr>
        <w:t xml:space="preserve">Trong tình hình </w:t>
      </w:r>
      <w:r w:rsidR="00B5143A">
        <w:rPr>
          <w:rFonts w:eastAsia="Batang"/>
          <w:sz w:val="28"/>
          <w:szCs w:val="28"/>
          <w:lang w:val="nb-NO" w:eastAsia="ko-KR"/>
        </w:rPr>
        <w:t xml:space="preserve">hậu quả </w:t>
      </w:r>
      <w:r w:rsidR="00EC6A9C">
        <w:rPr>
          <w:rFonts w:eastAsia="Batang"/>
          <w:sz w:val="28"/>
          <w:szCs w:val="28"/>
          <w:lang w:val="nb-NO" w:eastAsia="ko-KR"/>
        </w:rPr>
        <w:t xml:space="preserve">của đợt bùng phát </w:t>
      </w:r>
      <w:r w:rsidR="00B5143A">
        <w:rPr>
          <w:rFonts w:eastAsia="Batang"/>
          <w:sz w:val="28"/>
          <w:szCs w:val="28"/>
          <w:lang w:val="nb-NO" w:eastAsia="ko-KR"/>
        </w:rPr>
        <w:t>d</w:t>
      </w:r>
      <w:r w:rsidRPr="00393D1E">
        <w:rPr>
          <w:rFonts w:eastAsia="Batang"/>
          <w:sz w:val="28"/>
          <w:szCs w:val="28"/>
          <w:lang w:val="nb-NO" w:eastAsia="ko-KR"/>
        </w:rPr>
        <w:t>ịch bệnh</w:t>
      </w:r>
      <w:r w:rsidR="00EC6A9C">
        <w:rPr>
          <w:rFonts w:eastAsia="Batang"/>
          <w:sz w:val="28"/>
          <w:szCs w:val="28"/>
          <w:lang w:val="nb-NO" w:eastAsia="ko-KR"/>
        </w:rPr>
        <w:t xml:space="preserve"> lần thứ 4 tại thành phố thời gian vừa qua</w:t>
      </w:r>
      <w:r w:rsidR="00B5143A">
        <w:rPr>
          <w:rFonts w:eastAsia="Batang"/>
          <w:sz w:val="28"/>
          <w:szCs w:val="28"/>
          <w:lang w:val="nb-NO" w:eastAsia="ko-KR"/>
        </w:rPr>
        <w:t xml:space="preserve"> vẫn còn </w:t>
      </w:r>
      <w:r w:rsidR="00306E9F">
        <w:rPr>
          <w:rFonts w:eastAsia="Batang"/>
          <w:sz w:val="28"/>
          <w:szCs w:val="28"/>
          <w:lang w:val="nb-NO" w:eastAsia="ko-KR"/>
        </w:rPr>
        <w:t xml:space="preserve">để lại </w:t>
      </w:r>
      <w:r w:rsidR="00B6015A">
        <w:rPr>
          <w:rFonts w:eastAsia="Batang"/>
          <w:sz w:val="28"/>
          <w:szCs w:val="28"/>
          <w:lang w:val="nb-NO" w:eastAsia="ko-KR"/>
        </w:rPr>
        <w:t xml:space="preserve">nhiều </w:t>
      </w:r>
      <w:r w:rsidR="00B5143A">
        <w:rPr>
          <w:rFonts w:eastAsia="Batang"/>
          <w:sz w:val="28"/>
          <w:szCs w:val="28"/>
          <w:lang w:val="nb-NO" w:eastAsia="ko-KR"/>
        </w:rPr>
        <w:t xml:space="preserve">ảnh hưởng đến </w:t>
      </w:r>
      <w:r w:rsidR="00306E9F">
        <w:rPr>
          <w:rFonts w:eastAsia="Batang"/>
          <w:sz w:val="28"/>
          <w:szCs w:val="28"/>
          <w:lang w:val="nb-NO" w:eastAsia="ko-KR"/>
        </w:rPr>
        <w:t>đời sống</w:t>
      </w:r>
      <w:r w:rsidRPr="00393D1E">
        <w:rPr>
          <w:rFonts w:eastAsia="Batang"/>
          <w:sz w:val="28"/>
          <w:szCs w:val="28"/>
          <w:lang w:val="nb-NO" w:eastAsia="ko-KR"/>
        </w:rPr>
        <w:t xml:space="preserve"> </w:t>
      </w:r>
      <w:r w:rsidR="00EC6A9C">
        <w:rPr>
          <w:rFonts w:eastAsia="Batang"/>
          <w:sz w:val="28"/>
          <w:szCs w:val="28"/>
          <w:lang w:val="nb-NO" w:eastAsia="ko-KR"/>
        </w:rPr>
        <w:t>của người dân,</w:t>
      </w:r>
      <w:r w:rsidRPr="00393D1E">
        <w:rPr>
          <w:rFonts w:eastAsia="Batang"/>
          <w:sz w:val="28"/>
          <w:szCs w:val="28"/>
          <w:lang w:val="nb-NO" w:eastAsia="ko-KR"/>
        </w:rPr>
        <w:t xml:space="preserve"> </w:t>
      </w:r>
      <w:r w:rsidR="00EC6A9C">
        <w:rPr>
          <w:rFonts w:eastAsia="Batang"/>
          <w:sz w:val="28"/>
          <w:szCs w:val="28"/>
          <w:lang w:val="nb-NO" w:eastAsia="ko-KR"/>
        </w:rPr>
        <w:t xml:space="preserve">đồng thời các vấn đề biến động về chính trị - xã hội trên thế giới (chiến tranh, lạm phát...) </w:t>
      </w:r>
      <w:r w:rsidR="00306E9F">
        <w:rPr>
          <w:rFonts w:eastAsia="Batang"/>
          <w:sz w:val="28"/>
          <w:szCs w:val="28"/>
          <w:lang w:val="nb-NO" w:eastAsia="ko-KR"/>
        </w:rPr>
        <w:t>cũng tác động nhiều đến giá cả, chi phí sinh hoạt (xăng dầu, nhiên liệu</w:t>
      </w:r>
      <w:r w:rsidR="00A8031C">
        <w:rPr>
          <w:rFonts w:eastAsia="Batang"/>
          <w:sz w:val="28"/>
          <w:szCs w:val="28"/>
          <w:lang w:val="nb-NO" w:eastAsia="ko-KR"/>
        </w:rPr>
        <w:t xml:space="preserve">, thực phẩm...tăng giá), </w:t>
      </w:r>
      <w:r w:rsidRPr="00393D1E">
        <w:rPr>
          <w:rFonts w:eastAsia="Batang"/>
          <w:sz w:val="28"/>
          <w:szCs w:val="28"/>
          <w:lang w:val="nb-NO" w:eastAsia="ko-KR"/>
        </w:rPr>
        <w:t xml:space="preserve">việc đề xuất tăng học phí </w:t>
      </w:r>
      <w:r w:rsidR="00A8031C">
        <w:rPr>
          <w:rFonts w:eastAsia="Batang"/>
          <w:sz w:val="28"/>
          <w:szCs w:val="28"/>
          <w:lang w:val="nb-NO" w:eastAsia="ko-KR"/>
        </w:rPr>
        <w:t xml:space="preserve">tại thời điểm này </w:t>
      </w:r>
      <w:r w:rsidRPr="00393D1E">
        <w:rPr>
          <w:rFonts w:eastAsia="Batang"/>
          <w:sz w:val="28"/>
          <w:szCs w:val="28"/>
          <w:lang w:val="nb-NO" w:eastAsia="ko-KR"/>
        </w:rPr>
        <w:t xml:space="preserve">là vấn đề hết sức nhạy cảm.    </w:t>
      </w:r>
    </w:p>
    <w:p w14:paraId="57C94089" w14:textId="77777777" w:rsidR="00912902" w:rsidRDefault="00393D1E" w:rsidP="00C729B5">
      <w:pPr>
        <w:spacing w:before="120" w:after="120"/>
        <w:ind w:firstLine="567"/>
        <w:jc w:val="both"/>
        <w:rPr>
          <w:iCs/>
          <w:shd w:val="clear" w:color="auto" w:fill="FFFFFF"/>
          <w:lang w:val="ms-MY"/>
        </w:rPr>
      </w:pPr>
      <w:r>
        <w:rPr>
          <w:lang w:val="nb-NO"/>
        </w:rPr>
        <w:t>- Năm học 2021</w:t>
      </w:r>
      <w:r w:rsidRPr="00393D1E">
        <w:rPr>
          <w:lang w:val="nb-NO"/>
        </w:rPr>
        <w:t>-202</w:t>
      </w:r>
      <w:r>
        <w:rPr>
          <w:lang w:val="nb-NO"/>
        </w:rPr>
        <w:t>2</w:t>
      </w:r>
      <w:r w:rsidRPr="00393D1E">
        <w:rPr>
          <w:lang w:val="nb-NO"/>
        </w:rPr>
        <w:t xml:space="preserve">, </w:t>
      </w:r>
      <w:r w:rsidR="00383974">
        <w:rPr>
          <w:lang w:val="nb-NO"/>
        </w:rPr>
        <w:t xml:space="preserve">thành phố giữ nguyên khung mức thu học phí không thay đổi so với năm học 2020-2021. Tuy nhiên, </w:t>
      </w:r>
      <w:r w:rsidRPr="00393D1E">
        <w:rPr>
          <w:lang w:val="nb-NO"/>
        </w:rPr>
        <w:t>do tác động bởi dịch COVID-19 học sinh cấp học mầm non</w:t>
      </w:r>
      <w:r>
        <w:rPr>
          <w:lang w:val="nb-NO"/>
        </w:rPr>
        <w:t xml:space="preserve">, </w:t>
      </w:r>
      <w:r w:rsidR="00912902">
        <w:rPr>
          <w:lang w:val="nb-NO"/>
        </w:rPr>
        <w:t>tiểu học, trung học</w:t>
      </w:r>
      <w:r w:rsidRPr="00393D1E">
        <w:rPr>
          <w:lang w:val="nb-NO"/>
        </w:rPr>
        <w:t xml:space="preserve"> tạm dừng đến trường</w:t>
      </w:r>
      <w:r w:rsidR="00912902">
        <w:rPr>
          <w:lang w:val="nb-NO"/>
        </w:rPr>
        <w:t>, kinh tế người dân ảnh hưởng nghiêm trọng</w:t>
      </w:r>
      <w:r w:rsidRPr="00393D1E">
        <w:rPr>
          <w:lang w:val="nb-NO"/>
        </w:rPr>
        <w:t xml:space="preserve"> dẫn đến </w:t>
      </w:r>
      <w:r w:rsidR="00912902" w:rsidRPr="00430E46">
        <w:rPr>
          <w:shd w:val="clear" w:color="auto" w:fill="FFFFFF"/>
          <w:lang w:val="pt-BR"/>
        </w:rPr>
        <w:t xml:space="preserve">Hội đồng nhân dân Thành phố </w:t>
      </w:r>
      <w:r w:rsidR="00912902">
        <w:rPr>
          <w:shd w:val="clear" w:color="auto" w:fill="FFFFFF"/>
          <w:lang w:val="pt-BR"/>
        </w:rPr>
        <w:t xml:space="preserve">đã </w:t>
      </w:r>
      <w:r w:rsidR="00912902" w:rsidRPr="00430E46">
        <w:rPr>
          <w:shd w:val="clear" w:color="auto" w:fill="FFFFFF"/>
          <w:lang w:val="pt-BR"/>
        </w:rPr>
        <w:t xml:space="preserve">ban hành </w:t>
      </w:r>
      <w:r w:rsidR="00912902" w:rsidRPr="00430E46">
        <w:rPr>
          <w:iCs/>
          <w:shd w:val="clear" w:color="auto" w:fill="FFFFFF"/>
          <w:lang w:val="ms-MY"/>
        </w:rPr>
        <w:t xml:space="preserve">Nghị quyết về chính sách đặc thù hỗ trợ học phí cho </w:t>
      </w:r>
      <w:r w:rsidR="00912902" w:rsidRPr="00430E46">
        <w:rPr>
          <w:iCs/>
          <w:shd w:val="clear" w:color="auto" w:fill="FFFFFF"/>
          <w:lang w:val="pt-BR"/>
        </w:rPr>
        <w:t xml:space="preserve">trẻ mầm non, học sinh phổ thông công lập, ngoài công lập và học viên giáo dục thường xuyên </w:t>
      </w:r>
      <w:r w:rsidR="00912902" w:rsidRPr="00430E46">
        <w:rPr>
          <w:iCs/>
          <w:shd w:val="clear" w:color="auto" w:fill="FFFFFF"/>
          <w:lang w:val="ms-MY"/>
        </w:rPr>
        <w:t xml:space="preserve">trên địa bàn Thành phố </w:t>
      </w:r>
      <w:r w:rsidR="00B5143A">
        <w:rPr>
          <w:iCs/>
          <w:shd w:val="clear" w:color="auto" w:fill="FFFFFF"/>
          <w:lang w:val="ms-MY"/>
        </w:rPr>
        <w:t>Hồ Chí Minh trong học kỳ 1</w:t>
      </w:r>
      <w:r w:rsidR="00912902" w:rsidRPr="00430E46">
        <w:rPr>
          <w:iCs/>
          <w:shd w:val="clear" w:color="auto" w:fill="FFFFFF"/>
          <w:lang w:val="ms-MY"/>
        </w:rPr>
        <w:t xml:space="preserve"> </w:t>
      </w:r>
      <w:r w:rsidR="00B5143A">
        <w:rPr>
          <w:iCs/>
          <w:shd w:val="clear" w:color="auto" w:fill="FFFFFF"/>
          <w:lang w:val="ms-MY"/>
        </w:rPr>
        <w:t xml:space="preserve">và học kỳ 2 </w:t>
      </w:r>
      <w:r w:rsidR="00912902" w:rsidRPr="00430E46">
        <w:rPr>
          <w:iCs/>
          <w:shd w:val="clear" w:color="auto" w:fill="FFFFFF"/>
          <w:lang w:val="ms-MY"/>
        </w:rPr>
        <w:t>năm học 2021-2022.</w:t>
      </w:r>
    </w:p>
    <w:p w14:paraId="5EBDBB15" w14:textId="77777777" w:rsidR="00046C9E" w:rsidRDefault="00046C9E" w:rsidP="00C729B5">
      <w:pPr>
        <w:spacing w:before="120" w:after="120"/>
        <w:ind w:firstLine="567"/>
        <w:jc w:val="both"/>
        <w:rPr>
          <w:iCs/>
          <w:shd w:val="clear" w:color="auto" w:fill="FFFFFF"/>
          <w:lang w:val="ms-MY"/>
        </w:rPr>
      </w:pPr>
      <w:r>
        <w:rPr>
          <w:iCs/>
          <w:shd w:val="clear" w:color="auto" w:fill="FFFFFF"/>
          <w:lang w:val="ms-MY"/>
        </w:rPr>
        <w:t>So sán</w:t>
      </w:r>
      <w:r w:rsidRPr="00046C9E">
        <w:rPr>
          <w:iCs/>
          <w:shd w:val="clear" w:color="auto" w:fill="FFFFFF"/>
          <w:lang w:val="ms-MY"/>
        </w:rPr>
        <w:t xml:space="preserve">h </w:t>
      </w:r>
      <w:r>
        <w:rPr>
          <w:iCs/>
          <w:shd w:val="clear" w:color="auto" w:fill="FFFFFF"/>
          <w:lang w:val="ms-MY"/>
        </w:rPr>
        <w:t xml:space="preserve">năm học </w:t>
      </w:r>
      <w:r w:rsidRPr="00046C9E">
        <w:rPr>
          <w:iCs/>
          <w:shd w:val="clear" w:color="auto" w:fill="FFFFFF"/>
          <w:lang w:val="ms-MY"/>
        </w:rPr>
        <w:t xml:space="preserve">2022-2023 với </w:t>
      </w:r>
      <w:r>
        <w:rPr>
          <w:iCs/>
          <w:shd w:val="clear" w:color="auto" w:fill="FFFFFF"/>
          <w:lang w:val="ms-MY"/>
        </w:rPr>
        <w:t xml:space="preserve">năm học trước thì </w:t>
      </w:r>
      <w:r w:rsidRPr="00046C9E">
        <w:rPr>
          <w:iCs/>
          <w:shd w:val="clear" w:color="auto" w:fill="FFFFFF"/>
          <w:lang w:val="ms-MY"/>
        </w:rPr>
        <w:t xml:space="preserve">mức thu </w:t>
      </w:r>
      <w:r>
        <w:rPr>
          <w:iCs/>
          <w:shd w:val="clear" w:color="auto" w:fill="FFFFFF"/>
          <w:lang w:val="ms-MY"/>
        </w:rPr>
        <w:t>học phí năm học 2022-2023 tăng ở tất cả các cấp học, cụ thể như sau:</w:t>
      </w:r>
    </w:p>
    <w:p w14:paraId="2FBF0360" w14:textId="77777777" w:rsidR="00046C9E" w:rsidRPr="00A85722" w:rsidRDefault="00046C9E" w:rsidP="00046C9E">
      <w:pPr>
        <w:spacing w:before="120" w:after="120"/>
        <w:jc w:val="center"/>
        <w:rPr>
          <w:b/>
          <w:lang w:val="es-ES"/>
        </w:rPr>
      </w:pPr>
      <w:r w:rsidRPr="00A85722">
        <w:rPr>
          <w:b/>
          <w:lang w:val="es-ES"/>
        </w:rPr>
        <w:t>So sánh chênh lệch tăng của 2 năm học 2021-2022 và năm học 2022-2023</w:t>
      </w:r>
    </w:p>
    <w:p w14:paraId="4DF13F2F" w14:textId="77777777" w:rsidR="00046C9E" w:rsidRPr="00430E46" w:rsidRDefault="00046C9E" w:rsidP="00046C9E">
      <w:pPr>
        <w:spacing w:before="120" w:after="120"/>
        <w:ind w:left="5760" w:firstLine="720"/>
        <w:jc w:val="both"/>
        <w:rPr>
          <w:lang w:val="vi-VN"/>
        </w:rPr>
      </w:pPr>
      <w:r w:rsidRPr="00430E46">
        <w:rPr>
          <w:i/>
          <w:lang w:val="vi-VN"/>
        </w:rPr>
        <w:t>Đơn vị tính: đồng</w:t>
      </w:r>
    </w:p>
    <w:tbl>
      <w:tblPr>
        <w:tblW w:w="8834"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7"/>
        <w:gridCol w:w="1134"/>
        <w:gridCol w:w="1134"/>
        <w:gridCol w:w="1134"/>
        <w:gridCol w:w="1134"/>
        <w:gridCol w:w="1276"/>
        <w:gridCol w:w="1275"/>
      </w:tblGrid>
      <w:tr w:rsidR="00046C9E" w:rsidRPr="00430E46" w14:paraId="1F2F3D23" w14:textId="77777777" w:rsidTr="00C00330">
        <w:trPr>
          <w:trHeight w:val="601"/>
        </w:trPr>
        <w:tc>
          <w:tcPr>
            <w:tcW w:w="1747" w:type="dxa"/>
            <w:vMerge w:val="restart"/>
            <w:tcBorders>
              <w:top w:val="single" w:sz="4" w:space="0" w:color="auto"/>
              <w:left w:val="single" w:sz="4" w:space="0" w:color="auto"/>
              <w:right w:val="single" w:sz="4" w:space="0" w:color="auto"/>
            </w:tcBorders>
            <w:vAlign w:val="center"/>
          </w:tcPr>
          <w:p w14:paraId="3B11C897" w14:textId="77777777" w:rsidR="00046C9E" w:rsidRPr="00430E46" w:rsidRDefault="00046C9E" w:rsidP="00C00330">
            <w:pPr>
              <w:spacing w:before="120" w:after="120"/>
              <w:ind w:firstLine="650"/>
              <w:jc w:val="both"/>
              <w:rPr>
                <w:b/>
                <w:sz w:val="26"/>
                <w:szCs w:val="26"/>
              </w:rPr>
            </w:pPr>
            <w:r w:rsidRPr="00430E46">
              <w:rPr>
                <w:b/>
                <w:sz w:val="26"/>
                <w:szCs w:val="26"/>
              </w:rPr>
              <w:t>Cấp học</w:t>
            </w:r>
          </w:p>
        </w:tc>
        <w:tc>
          <w:tcPr>
            <w:tcW w:w="2268" w:type="dxa"/>
            <w:gridSpan w:val="2"/>
            <w:tcBorders>
              <w:left w:val="single" w:sz="4" w:space="0" w:color="auto"/>
            </w:tcBorders>
            <w:vAlign w:val="center"/>
          </w:tcPr>
          <w:p w14:paraId="34490C84" w14:textId="77777777" w:rsidR="00046C9E" w:rsidRPr="00430E46" w:rsidRDefault="00046C9E" w:rsidP="00C00330">
            <w:pPr>
              <w:spacing w:before="120" w:after="120"/>
              <w:jc w:val="center"/>
              <w:rPr>
                <w:b/>
                <w:sz w:val="26"/>
                <w:szCs w:val="26"/>
              </w:rPr>
            </w:pPr>
            <w:r w:rsidRPr="00430E46">
              <w:rPr>
                <w:b/>
                <w:sz w:val="26"/>
                <w:szCs w:val="26"/>
              </w:rPr>
              <w:t>NH 2021-2022</w:t>
            </w:r>
          </w:p>
        </w:tc>
        <w:tc>
          <w:tcPr>
            <w:tcW w:w="2268" w:type="dxa"/>
            <w:gridSpan w:val="2"/>
            <w:tcBorders>
              <w:left w:val="single" w:sz="4" w:space="0" w:color="auto"/>
            </w:tcBorders>
            <w:vAlign w:val="center"/>
          </w:tcPr>
          <w:p w14:paraId="7171FE9D" w14:textId="77777777" w:rsidR="00046C9E" w:rsidRPr="00430E46" w:rsidRDefault="00046C9E" w:rsidP="00C00330">
            <w:pPr>
              <w:spacing w:before="120" w:after="120"/>
              <w:jc w:val="center"/>
              <w:rPr>
                <w:b/>
                <w:sz w:val="26"/>
                <w:szCs w:val="26"/>
              </w:rPr>
            </w:pPr>
            <w:r w:rsidRPr="00430E46">
              <w:rPr>
                <w:b/>
                <w:sz w:val="26"/>
                <w:szCs w:val="26"/>
              </w:rPr>
              <w:t>NH 2022-2023</w:t>
            </w:r>
          </w:p>
        </w:tc>
        <w:tc>
          <w:tcPr>
            <w:tcW w:w="2551" w:type="dxa"/>
            <w:gridSpan w:val="2"/>
            <w:tcBorders>
              <w:left w:val="single" w:sz="4" w:space="0" w:color="auto"/>
            </w:tcBorders>
          </w:tcPr>
          <w:p w14:paraId="3D41C4FF" w14:textId="77777777" w:rsidR="00046C9E" w:rsidRPr="00430E46" w:rsidRDefault="00046C9E" w:rsidP="00C00330">
            <w:pPr>
              <w:spacing w:before="120" w:after="120"/>
              <w:jc w:val="center"/>
              <w:rPr>
                <w:b/>
                <w:sz w:val="26"/>
                <w:szCs w:val="26"/>
              </w:rPr>
            </w:pPr>
            <w:r w:rsidRPr="00430E46">
              <w:rPr>
                <w:b/>
                <w:sz w:val="26"/>
                <w:szCs w:val="26"/>
              </w:rPr>
              <w:t>CHÊNH LỆCH</w:t>
            </w:r>
          </w:p>
        </w:tc>
      </w:tr>
      <w:tr w:rsidR="00046C9E" w:rsidRPr="00430E46" w14:paraId="7C6CE73C" w14:textId="77777777" w:rsidTr="00C00330">
        <w:trPr>
          <w:trHeight w:val="172"/>
        </w:trPr>
        <w:tc>
          <w:tcPr>
            <w:tcW w:w="1747" w:type="dxa"/>
            <w:vMerge/>
            <w:tcBorders>
              <w:left w:val="single" w:sz="4" w:space="0" w:color="auto"/>
              <w:bottom w:val="single" w:sz="4" w:space="0" w:color="auto"/>
              <w:right w:val="single" w:sz="4" w:space="0" w:color="auto"/>
            </w:tcBorders>
            <w:vAlign w:val="center"/>
          </w:tcPr>
          <w:p w14:paraId="72491AAA" w14:textId="77777777" w:rsidR="00046C9E" w:rsidRPr="00430E46" w:rsidRDefault="00046C9E" w:rsidP="00C00330">
            <w:pPr>
              <w:spacing w:before="120" w:after="120"/>
              <w:ind w:firstLine="650"/>
              <w:jc w:val="both"/>
              <w:rPr>
                <w:sz w:val="26"/>
                <w:szCs w:val="26"/>
              </w:rPr>
            </w:pPr>
          </w:p>
        </w:tc>
        <w:tc>
          <w:tcPr>
            <w:tcW w:w="1134" w:type="dxa"/>
            <w:tcBorders>
              <w:left w:val="single" w:sz="4" w:space="0" w:color="auto"/>
              <w:right w:val="single" w:sz="4" w:space="0" w:color="auto"/>
            </w:tcBorders>
            <w:vAlign w:val="center"/>
          </w:tcPr>
          <w:p w14:paraId="7990D960" w14:textId="77777777" w:rsidR="00046C9E" w:rsidRPr="00430E46" w:rsidRDefault="00046C9E" w:rsidP="00C00330">
            <w:pPr>
              <w:spacing w:before="120" w:after="120"/>
              <w:jc w:val="both"/>
              <w:rPr>
                <w:sz w:val="26"/>
                <w:szCs w:val="26"/>
              </w:rPr>
            </w:pPr>
            <w:r w:rsidRPr="00430E46">
              <w:rPr>
                <w:b/>
                <w:sz w:val="26"/>
                <w:szCs w:val="26"/>
              </w:rPr>
              <w:t>Nhóm 1</w:t>
            </w:r>
          </w:p>
        </w:tc>
        <w:tc>
          <w:tcPr>
            <w:tcW w:w="1134" w:type="dxa"/>
            <w:tcBorders>
              <w:left w:val="single" w:sz="4" w:space="0" w:color="auto"/>
            </w:tcBorders>
            <w:vAlign w:val="center"/>
          </w:tcPr>
          <w:p w14:paraId="44F02E30" w14:textId="77777777" w:rsidR="00046C9E" w:rsidRPr="00430E46" w:rsidRDefault="00046C9E" w:rsidP="00C00330">
            <w:pPr>
              <w:spacing w:before="120" w:after="120"/>
              <w:jc w:val="both"/>
              <w:rPr>
                <w:sz w:val="26"/>
                <w:szCs w:val="26"/>
              </w:rPr>
            </w:pPr>
            <w:r w:rsidRPr="00430E46">
              <w:rPr>
                <w:b/>
                <w:sz w:val="26"/>
                <w:szCs w:val="26"/>
              </w:rPr>
              <w:t>Nhóm 2</w:t>
            </w:r>
          </w:p>
        </w:tc>
        <w:tc>
          <w:tcPr>
            <w:tcW w:w="1134" w:type="dxa"/>
            <w:tcBorders>
              <w:left w:val="single" w:sz="4" w:space="0" w:color="auto"/>
            </w:tcBorders>
            <w:vAlign w:val="center"/>
          </w:tcPr>
          <w:p w14:paraId="4D28BA15" w14:textId="77777777" w:rsidR="00046C9E" w:rsidRPr="00430E46" w:rsidRDefault="00046C9E" w:rsidP="00C00330">
            <w:pPr>
              <w:spacing w:before="120" w:after="120"/>
              <w:jc w:val="both"/>
              <w:rPr>
                <w:sz w:val="26"/>
                <w:szCs w:val="26"/>
              </w:rPr>
            </w:pPr>
            <w:r w:rsidRPr="00430E46">
              <w:rPr>
                <w:b/>
                <w:sz w:val="26"/>
                <w:szCs w:val="26"/>
              </w:rPr>
              <w:t>Nhóm 1</w:t>
            </w:r>
          </w:p>
        </w:tc>
        <w:tc>
          <w:tcPr>
            <w:tcW w:w="1134" w:type="dxa"/>
            <w:vAlign w:val="center"/>
          </w:tcPr>
          <w:p w14:paraId="2E779EE2" w14:textId="77777777" w:rsidR="00046C9E" w:rsidRPr="00430E46" w:rsidRDefault="00046C9E" w:rsidP="00C00330">
            <w:pPr>
              <w:spacing w:before="120" w:after="120"/>
              <w:jc w:val="both"/>
              <w:rPr>
                <w:sz w:val="26"/>
                <w:szCs w:val="26"/>
              </w:rPr>
            </w:pPr>
            <w:r w:rsidRPr="00430E46">
              <w:rPr>
                <w:b/>
                <w:sz w:val="26"/>
                <w:szCs w:val="26"/>
              </w:rPr>
              <w:t>Nhóm 2</w:t>
            </w:r>
          </w:p>
        </w:tc>
        <w:tc>
          <w:tcPr>
            <w:tcW w:w="1276" w:type="dxa"/>
            <w:vAlign w:val="center"/>
          </w:tcPr>
          <w:p w14:paraId="3E17031E" w14:textId="77777777" w:rsidR="00046C9E" w:rsidRPr="00430E46" w:rsidRDefault="00046C9E" w:rsidP="00C00330">
            <w:pPr>
              <w:spacing w:before="120" w:after="120"/>
              <w:jc w:val="both"/>
              <w:rPr>
                <w:sz w:val="26"/>
                <w:szCs w:val="26"/>
              </w:rPr>
            </w:pPr>
            <w:r w:rsidRPr="00430E46">
              <w:rPr>
                <w:b/>
                <w:sz w:val="26"/>
                <w:szCs w:val="26"/>
              </w:rPr>
              <w:t>Nhóm 1</w:t>
            </w:r>
          </w:p>
        </w:tc>
        <w:tc>
          <w:tcPr>
            <w:tcW w:w="1275" w:type="dxa"/>
            <w:vAlign w:val="center"/>
          </w:tcPr>
          <w:p w14:paraId="13DF6686" w14:textId="77777777" w:rsidR="00046C9E" w:rsidRPr="00430E46" w:rsidRDefault="00046C9E" w:rsidP="00C00330">
            <w:pPr>
              <w:spacing w:before="120" w:after="120"/>
              <w:jc w:val="both"/>
              <w:rPr>
                <w:sz w:val="26"/>
                <w:szCs w:val="26"/>
              </w:rPr>
            </w:pPr>
            <w:r w:rsidRPr="00430E46">
              <w:rPr>
                <w:b/>
                <w:sz w:val="26"/>
                <w:szCs w:val="26"/>
              </w:rPr>
              <w:t>Nhóm 2</w:t>
            </w:r>
          </w:p>
        </w:tc>
      </w:tr>
      <w:tr w:rsidR="00046C9E" w:rsidRPr="00430E46" w14:paraId="4063A0B3" w14:textId="77777777" w:rsidTr="00C00330">
        <w:trPr>
          <w:trHeight w:val="525"/>
        </w:trPr>
        <w:tc>
          <w:tcPr>
            <w:tcW w:w="1747" w:type="dxa"/>
            <w:tcBorders>
              <w:top w:val="single" w:sz="4" w:space="0" w:color="auto"/>
            </w:tcBorders>
            <w:vAlign w:val="center"/>
          </w:tcPr>
          <w:p w14:paraId="78EFF0B7" w14:textId="77777777" w:rsidR="00046C9E" w:rsidRPr="00430E46" w:rsidRDefault="00046C9E" w:rsidP="00C00330">
            <w:pPr>
              <w:spacing w:before="120" w:after="120"/>
              <w:rPr>
                <w:sz w:val="26"/>
                <w:szCs w:val="26"/>
              </w:rPr>
            </w:pPr>
            <w:r w:rsidRPr="00430E46">
              <w:rPr>
                <w:sz w:val="26"/>
                <w:szCs w:val="26"/>
              </w:rPr>
              <w:t>Nhà trẻ</w:t>
            </w:r>
          </w:p>
        </w:tc>
        <w:tc>
          <w:tcPr>
            <w:tcW w:w="1134" w:type="dxa"/>
            <w:vAlign w:val="center"/>
          </w:tcPr>
          <w:p w14:paraId="27F28981" w14:textId="77777777" w:rsidR="00046C9E" w:rsidRPr="00430E46" w:rsidRDefault="00046C9E" w:rsidP="00C00330">
            <w:pPr>
              <w:shd w:val="clear" w:color="auto" w:fill="FFFFFF"/>
              <w:spacing w:before="120" w:after="120"/>
              <w:jc w:val="both"/>
              <w:rPr>
                <w:sz w:val="26"/>
                <w:szCs w:val="26"/>
              </w:rPr>
            </w:pPr>
            <w:r w:rsidRPr="00430E46">
              <w:rPr>
                <w:sz w:val="26"/>
                <w:szCs w:val="26"/>
              </w:rPr>
              <w:t>200.000</w:t>
            </w:r>
          </w:p>
        </w:tc>
        <w:tc>
          <w:tcPr>
            <w:tcW w:w="1134" w:type="dxa"/>
            <w:vAlign w:val="center"/>
          </w:tcPr>
          <w:p w14:paraId="1E91D86E" w14:textId="77777777" w:rsidR="00046C9E" w:rsidRPr="00430E46" w:rsidRDefault="00046C9E" w:rsidP="00C00330">
            <w:pPr>
              <w:shd w:val="clear" w:color="auto" w:fill="FFFFFF"/>
              <w:spacing w:before="120" w:after="120"/>
              <w:jc w:val="both"/>
              <w:rPr>
                <w:sz w:val="26"/>
                <w:szCs w:val="26"/>
              </w:rPr>
            </w:pPr>
            <w:r w:rsidRPr="00430E46">
              <w:rPr>
                <w:sz w:val="26"/>
                <w:szCs w:val="26"/>
              </w:rPr>
              <w:t>120.000</w:t>
            </w:r>
          </w:p>
        </w:tc>
        <w:tc>
          <w:tcPr>
            <w:tcW w:w="1134" w:type="dxa"/>
            <w:vAlign w:val="center"/>
          </w:tcPr>
          <w:p w14:paraId="5C28C123" w14:textId="77777777" w:rsidR="00046C9E" w:rsidRPr="00430E46" w:rsidRDefault="00046C9E" w:rsidP="00C00330">
            <w:pPr>
              <w:spacing w:before="120" w:after="120"/>
              <w:jc w:val="center"/>
              <w:rPr>
                <w:sz w:val="26"/>
                <w:szCs w:val="26"/>
              </w:rPr>
            </w:pPr>
            <w:r w:rsidRPr="00430E46">
              <w:rPr>
                <w:sz w:val="26"/>
                <w:szCs w:val="26"/>
              </w:rPr>
              <w:t>300.000</w:t>
            </w:r>
          </w:p>
        </w:tc>
        <w:tc>
          <w:tcPr>
            <w:tcW w:w="1134" w:type="dxa"/>
            <w:vAlign w:val="center"/>
          </w:tcPr>
          <w:p w14:paraId="22863901" w14:textId="77777777" w:rsidR="00046C9E" w:rsidRPr="00430E46" w:rsidRDefault="00046C9E" w:rsidP="00C00330">
            <w:pPr>
              <w:spacing w:before="120" w:after="120"/>
              <w:jc w:val="center"/>
              <w:rPr>
                <w:sz w:val="26"/>
                <w:szCs w:val="26"/>
              </w:rPr>
            </w:pPr>
            <w:r>
              <w:rPr>
                <w:sz w:val="26"/>
                <w:szCs w:val="26"/>
              </w:rPr>
              <w:t>12</w:t>
            </w:r>
            <w:r w:rsidRPr="00430E46">
              <w:rPr>
                <w:sz w:val="26"/>
                <w:szCs w:val="26"/>
              </w:rPr>
              <w:t>0.000</w:t>
            </w:r>
          </w:p>
        </w:tc>
        <w:tc>
          <w:tcPr>
            <w:tcW w:w="1276" w:type="dxa"/>
          </w:tcPr>
          <w:p w14:paraId="12459450" w14:textId="77777777" w:rsidR="00046C9E" w:rsidRPr="00430E46" w:rsidRDefault="00046C9E" w:rsidP="00C00330">
            <w:pPr>
              <w:spacing w:before="120" w:after="120"/>
              <w:jc w:val="center"/>
              <w:rPr>
                <w:sz w:val="26"/>
                <w:szCs w:val="26"/>
              </w:rPr>
            </w:pPr>
            <w:r w:rsidRPr="00430E46">
              <w:rPr>
                <w:sz w:val="26"/>
                <w:szCs w:val="26"/>
              </w:rPr>
              <w:t>100.000</w:t>
            </w:r>
          </w:p>
        </w:tc>
        <w:tc>
          <w:tcPr>
            <w:tcW w:w="1275" w:type="dxa"/>
          </w:tcPr>
          <w:p w14:paraId="12577657" w14:textId="77777777" w:rsidR="00046C9E" w:rsidRPr="00430E46" w:rsidRDefault="00046C9E" w:rsidP="00C00330">
            <w:pPr>
              <w:spacing w:before="120" w:after="120"/>
              <w:jc w:val="center"/>
              <w:rPr>
                <w:sz w:val="26"/>
                <w:szCs w:val="26"/>
              </w:rPr>
            </w:pPr>
            <w:r>
              <w:rPr>
                <w:sz w:val="26"/>
                <w:szCs w:val="26"/>
              </w:rPr>
              <w:t>-</w:t>
            </w:r>
          </w:p>
        </w:tc>
      </w:tr>
      <w:tr w:rsidR="00046C9E" w:rsidRPr="00430E46" w14:paraId="100D5779" w14:textId="77777777" w:rsidTr="00C00330">
        <w:trPr>
          <w:trHeight w:val="460"/>
        </w:trPr>
        <w:tc>
          <w:tcPr>
            <w:tcW w:w="1747" w:type="dxa"/>
            <w:vAlign w:val="center"/>
          </w:tcPr>
          <w:p w14:paraId="4918DC9A" w14:textId="77777777" w:rsidR="00046C9E" w:rsidRPr="00430E46" w:rsidRDefault="00046C9E" w:rsidP="00C00330">
            <w:pPr>
              <w:spacing w:before="120" w:after="120"/>
              <w:rPr>
                <w:sz w:val="26"/>
                <w:szCs w:val="26"/>
              </w:rPr>
            </w:pPr>
            <w:r w:rsidRPr="00430E46">
              <w:rPr>
                <w:sz w:val="26"/>
                <w:szCs w:val="26"/>
              </w:rPr>
              <w:t>Mẫu giáo</w:t>
            </w:r>
          </w:p>
        </w:tc>
        <w:tc>
          <w:tcPr>
            <w:tcW w:w="1134" w:type="dxa"/>
            <w:vAlign w:val="center"/>
          </w:tcPr>
          <w:p w14:paraId="59D3D729" w14:textId="77777777" w:rsidR="00046C9E" w:rsidRPr="00430E46" w:rsidRDefault="00046C9E" w:rsidP="00C00330">
            <w:pPr>
              <w:shd w:val="clear" w:color="auto" w:fill="FFFFFF"/>
              <w:spacing w:before="120" w:after="120"/>
              <w:jc w:val="both"/>
              <w:rPr>
                <w:sz w:val="26"/>
                <w:szCs w:val="26"/>
              </w:rPr>
            </w:pPr>
            <w:r w:rsidRPr="00430E46">
              <w:rPr>
                <w:sz w:val="26"/>
                <w:szCs w:val="26"/>
              </w:rPr>
              <w:t>160.000</w:t>
            </w:r>
          </w:p>
        </w:tc>
        <w:tc>
          <w:tcPr>
            <w:tcW w:w="1134" w:type="dxa"/>
            <w:vAlign w:val="center"/>
          </w:tcPr>
          <w:p w14:paraId="2EF22A38" w14:textId="77777777" w:rsidR="00046C9E" w:rsidRPr="00430E46" w:rsidRDefault="00046C9E" w:rsidP="00C00330">
            <w:pPr>
              <w:shd w:val="clear" w:color="auto" w:fill="FFFFFF"/>
              <w:spacing w:before="120" w:after="120"/>
              <w:jc w:val="both"/>
              <w:rPr>
                <w:sz w:val="26"/>
                <w:szCs w:val="26"/>
              </w:rPr>
            </w:pPr>
            <w:r w:rsidRPr="00430E46">
              <w:rPr>
                <w:sz w:val="26"/>
                <w:szCs w:val="26"/>
              </w:rPr>
              <w:t>100.000</w:t>
            </w:r>
          </w:p>
        </w:tc>
        <w:tc>
          <w:tcPr>
            <w:tcW w:w="1134" w:type="dxa"/>
            <w:vAlign w:val="center"/>
          </w:tcPr>
          <w:p w14:paraId="1B4A7685" w14:textId="77777777" w:rsidR="00046C9E" w:rsidRPr="00430E46" w:rsidRDefault="00046C9E" w:rsidP="00C00330">
            <w:pPr>
              <w:spacing w:before="120" w:after="120"/>
              <w:jc w:val="center"/>
              <w:rPr>
                <w:sz w:val="26"/>
                <w:szCs w:val="26"/>
              </w:rPr>
            </w:pPr>
            <w:r w:rsidRPr="00430E46">
              <w:rPr>
                <w:sz w:val="26"/>
                <w:szCs w:val="26"/>
              </w:rPr>
              <w:t>300.000</w:t>
            </w:r>
          </w:p>
        </w:tc>
        <w:tc>
          <w:tcPr>
            <w:tcW w:w="1134" w:type="dxa"/>
            <w:vAlign w:val="center"/>
          </w:tcPr>
          <w:p w14:paraId="12B18D6F" w14:textId="77777777" w:rsidR="00046C9E" w:rsidRPr="00430E46" w:rsidRDefault="00046C9E" w:rsidP="00C00330">
            <w:pPr>
              <w:spacing w:before="120" w:after="120"/>
              <w:jc w:val="center"/>
              <w:rPr>
                <w:sz w:val="26"/>
                <w:szCs w:val="26"/>
              </w:rPr>
            </w:pPr>
            <w:r w:rsidRPr="00430E46">
              <w:rPr>
                <w:sz w:val="26"/>
                <w:szCs w:val="26"/>
              </w:rPr>
              <w:t>100.000</w:t>
            </w:r>
          </w:p>
        </w:tc>
        <w:tc>
          <w:tcPr>
            <w:tcW w:w="1276" w:type="dxa"/>
          </w:tcPr>
          <w:p w14:paraId="408B88E2" w14:textId="77777777" w:rsidR="00046C9E" w:rsidRPr="00430E46" w:rsidRDefault="00046C9E" w:rsidP="00C00330">
            <w:pPr>
              <w:spacing w:before="120" w:after="120"/>
              <w:jc w:val="center"/>
              <w:rPr>
                <w:sz w:val="26"/>
                <w:szCs w:val="26"/>
              </w:rPr>
            </w:pPr>
            <w:r w:rsidRPr="00430E46">
              <w:rPr>
                <w:sz w:val="26"/>
                <w:szCs w:val="26"/>
              </w:rPr>
              <w:t>140.000</w:t>
            </w:r>
          </w:p>
        </w:tc>
        <w:tc>
          <w:tcPr>
            <w:tcW w:w="1275" w:type="dxa"/>
          </w:tcPr>
          <w:p w14:paraId="440F0A5C" w14:textId="77777777" w:rsidR="00046C9E" w:rsidRPr="00430E46" w:rsidRDefault="00046C9E" w:rsidP="00C00330">
            <w:pPr>
              <w:spacing w:before="120" w:after="120"/>
              <w:jc w:val="center"/>
              <w:rPr>
                <w:sz w:val="26"/>
                <w:szCs w:val="26"/>
              </w:rPr>
            </w:pPr>
            <w:r w:rsidRPr="00430E46">
              <w:rPr>
                <w:sz w:val="26"/>
                <w:szCs w:val="26"/>
              </w:rPr>
              <w:t>-</w:t>
            </w:r>
          </w:p>
        </w:tc>
      </w:tr>
      <w:tr w:rsidR="00046C9E" w:rsidRPr="00430E46" w14:paraId="481DCA4C" w14:textId="77777777" w:rsidTr="00C00330">
        <w:trPr>
          <w:trHeight w:val="340"/>
        </w:trPr>
        <w:tc>
          <w:tcPr>
            <w:tcW w:w="1747" w:type="dxa"/>
            <w:vAlign w:val="center"/>
          </w:tcPr>
          <w:p w14:paraId="6AE16D95" w14:textId="77777777" w:rsidR="00046C9E" w:rsidRPr="00430E46" w:rsidRDefault="00046C9E" w:rsidP="00C00330">
            <w:pPr>
              <w:spacing w:before="120" w:after="120"/>
              <w:rPr>
                <w:sz w:val="26"/>
                <w:szCs w:val="26"/>
              </w:rPr>
            </w:pPr>
            <w:r w:rsidRPr="00430E46">
              <w:rPr>
                <w:sz w:val="26"/>
                <w:szCs w:val="26"/>
              </w:rPr>
              <w:t>Tiểu học</w:t>
            </w:r>
          </w:p>
        </w:tc>
        <w:tc>
          <w:tcPr>
            <w:tcW w:w="2268" w:type="dxa"/>
            <w:gridSpan w:val="2"/>
            <w:vAlign w:val="center"/>
          </w:tcPr>
          <w:p w14:paraId="6535E8E9" w14:textId="77777777" w:rsidR="00046C9E" w:rsidRPr="00430E46" w:rsidRDefault="00046C9E" w:rsidP="00C00330">
            <w:pPr>
              <w:spacing w:before="120" w:after="120"/>
              <w:jc w:val="center"/>
              <w:rPr>
                <w:sz w:val="26"/>
                <w:szCs w:val="26"/>
              </w:rPr>
            </w:pPr>
            <w:r w:rsidRPr="00430E46">
              <w:rPr>
                <w:sz w:val="26"/>
                <w:szCs w:val="26"/>
              </w:rPr>
              <w:t>Không thu</w:t>
            </w:r>
          </w:p>
        </w:tc>
        <w:tc>
          <w:tcPr>
            <w:tcW w:w="2268" w:type="dxa"/>
            <w:gridSpan w:val="2"/>
            <w:vAlign w:val="center"/>
          </w:tcPr>
          <w:p w14:paraId="60350F2E" w14:textId="77777777" w:rsidR="00046C9E" w:rsidRPr="00430E46" w:rsidRDefault="00046C9E" w:rsidP="00C00330">
            <w:pPr>
              <w:spacing w:before="120" w:after="120"/>
              <w:jc w:val="center"/>
              <w:rPr>
                <w:sz w:val="26"/>
                <w:szCs w:val="26"/>
              </w:rPr>
            </w:pPr>
            <w:r w:rsidRPr="00430E46">
              <w:rPr>
                <w:sz w:val="26"/>
                <w:szCs w:val="26"/>
              </w:rPr>
              <w:t>Không thu</w:t>
            </w:r>
          </w:p>
        </w:tc>
        <w:tc>
          <w:tcPr>
            <w:tcW w:w="2551" w:type="dxa"/>
            <w:gridSpan w:val="2"/>
          </w:tcPr>
          <w:p w14:paraId="6E943E0F" w14:textId="77777777" w:rsidR="00046C9E" w:rsidRPr="00430E46" w:rsidRDefault="00046C9E" w:rsidP="00C00330">
            <w:pPr>
              <w:spacing w:before="120" w:after="120"/>
              <w:jc w:val="center"/>
              <w:rPr>
                <w:sz w:val="26"/>
                <w:szCs w:val="26"/>
              </w:rPr>
            </w:pPr>
          </w:p>
        </w:tc>
      </w:tr>
      <w:tr w:rsidR="00046C9E" w:rsidRPr="00430E46" w14:paraId="0FBFEF40" w14:textId="77777777" w:rsidTr="00C00330">
        <w:trPr>
          <w:trHeight w:val="460"/>
        </w:trPr>
        <w:tc>
          <w:tcPr>
            <w:tcW w:w="1747" w:type="dxa"/>
            <w:vAlign w:val="center"/>
          </w:tcPr>
          <w:p w14:paraId="39E6A166" w14:textId="77777777" w:rsidR="00046C9E" w:rsidRPr="00430E46" w:rsidRDefault="00046C9E" w:rsidP="00C00330">
            <w:pPr>
              <w:spacing w:before="120" w:after="120"/>
              <w:rPr>
                <w:sz w:val="26"/>
                <w:szCs w:val="26"/>
              </w:rPr>
            </w:pPr>
            <w:r w:rsidRPr="00430E46">
              <w:rPr>
                <w:sz w:val="26"/>
                <w:szCs w:val="26"/>
              </w:rPr>
              <w:t>THCS</w:t>
            </w:r>
          </w:p>
        </w:tc>
        <w:tc>
          <w:tcPr>
            <w:tcW w:w="1134" w:type="dxa"/>
            <w:vAlign w:val="center"/>
          </w:tcPr>
          <w:p w14:paraId="5FCA8D16" w14:textId="77777777" w:rsidR="00046C9E" w:rsidRPr="00430E46" w:rsidRDefault="00046C9E" w:rsidP="00C00330">
            <w:pPr>
              <w:shd w:val="clear" w:color="auto" w:fill="FFFFFF"/>
              <w:spacing w:before="120" w:after="120"/>
              <w:jc w:val="both"/>
              <w:rPr>
                <w:sz w:val="26"/>
                <w:szCs w:val="26"/>
              </w:rPr>
            </w:pPr>
            <w:r w:rsidRPr="00430E46">
              <w:rPr>
                <w:sz w:val="26"/>
                <w:szCs w:val="26"/>
              </w:rPr>
              <w:t>60.000</w:t>
            </w:r>
          </w:p>
        </w:tc>
        <w:tc>
          <w:tcPr>
            <w:tcW w:w="1134" w:type="dxa"/>
            <w:vAlign w:val="center"/>
          </w:tcPr>
          <w:p w14:paraId="78936652" w14:textId="77777777" w:rsidR="00046C9E" w:rsidRPr="00430E46" w:rsidRDefault="00046C9E" w:rsidP="00C00330">
            <w:pPr>
              <w:shd w:val="clear" w:color="auto" w:fill="FFFFFF"/>
              <w:spacing w:before="120" w:after="120"/>
              <w:jc w:val="both"/>
              <w:rPr>
                <w:sz w:val="26"/>
                <w:szCs w:val="26"/>
              </w:rPr>
            </w:pPr>
            <w:r w:rsidRPr="00430E46">
              <w:rPr>
                <w:sz w:val="26"/>
                <w:szCs w:val="26"/>
              </w:rPr>
              <w:t>30.000</w:t>
            </w:r>
          </w:p>
        </w:tc>
        <w:tc>
          <w:tcPr>
            <w:tcW w:w="1134" w:type="dxa"/>
            <w:vAlign w:val="center"/>
          </w:tcPr>
          <w:p w14:paraId="49C9561E" w14:textId="77777777" w:rsidR="00046C9E" w:rsidRPr="00430E46" w:rsidRDefault="00046C9E" w:rsidP="00C00330">
            <w:pPr>
              <w:spacing w:before="120" w:after="120"/>
              <w:jc w:val="center"/>
              <w:rPr>
                <w:sz w:val="26"/>
                <w:szCs w:val="26"/>
              </w:rPr>
            </w:pPr>
            <w:r w:rsidRPr="00430E46">
              <w:rPr>
                <w:sz w:val="26"/>
                <w:szCs w:val="26"/>
              </w:rPr>
              <w:t>300.000</w:t>
            </w:r>
          </w:p>
        </w:tc>
        <w:tc>
          <w:tcPr>
            <w:tcW w:w="1134" w:type="dxa"/>
            <w:vAlign w:val="center"/>
          </w:tcPr>
          <w:p w14:paraId="4BF9A054" w14:textId="77777777" w:rsidR="00046C9E" w:rsidRPr="00430E46" w:rsidRDefault="00046C9E" w:rsidP="00C00330">
            <w:pPr>
              <w:spacing w:before="120" w:after="120"/>
              <w:jc w:val="center"/>
              <w:rPr>
                <w:sz w:val="26"/>
                <w:szCs w:val="26"/>
              </w:rPr>
            </w:pPr>
            <w:r w:rsidRPr="00430E46">
              <w:rPr>
                <w:sz w:val="26"/>
                <w:szCs w:val="26"/>
              </w:rPr>
              <w:t>100.000</w:t>
            </w:r>
          </w:p>
        </w:tc>
        <w:tc>
          <w:tcPr>
            <w:tcW w:w="1276" w:type="dxa"/>
          </w:tcPr>
          <w:p w14:paraId="428891C7" w14:textId="77777777" w:rsidR="00046C9E" w:rsidRPr="00430E46" w:rsidRDefault="00046C9E" w:rsidP="00C00330">
            <w:pPr>
              <w:spacing w:before="120" w:after="120"/>
              <w:jc w:val="center"/>
              <w:rPr>
                <w:sz w:val="26"/>
                <w:szCs w:val="26"/>
              </w:rPr>
            </w:pPr>
            <w:r>
              <w:rPr>
                <w:sz w:val="26"/>
                <w:szCs w:val="26"/>
              </w:rPr>
              <w:t>2</w:t>
            </w:r>
            <w:r w:rsidRPr="00430E46">
              <w:rPr>
                <w:sz w:val="26"/>
                <w:szCs w:val="26"/>
              </w:rPr>
              <w:t>40.000</w:t>
            </w:r>
          </w:p>
        </w:tc>
        <w:tc>
          <w:tcPr>
            <w:tcW w:w="1275" w:type="dxa"/>
          </w:tcPr>
          <w:p w14:paraId="0C4D6247" w14:textId="77777777" w:rsidR="00046C9E" w:rsidRPr="00430E46" w:rsidRDefault="00046C9E" w:rsidP="00C00330">
            <w:pPr>
              <w:spacing w:before="120" w:after="120"/>
              <w:jc w:val="center"/>
              <w:rPr>
                <w:sz w:val="26"/>
                <w:szCs w:val="26"/>
              </w:rPr>
            </w:pPr>
            <w:r w:rsidRPr="00430E46">
              <w:rPr>
                <w:sz w:val="26"/>
                <w:szCs w:val="26"/>
              </w:rPr>
              <w:t>70.000</w:t>
            </w:r>
          </w:p>
        </w:tc>
      </w:tr>
      <w:tr w:rsidR="00046C9E" w:rsidRPr="00430E46" w14:paraId="73847C47" w14:textId="77777777" w:rsidTr="00C00330">
        <w:trPr>
          <w:trHeight w:val="533"/>
        </w:trPr>
        <w:tc>
          <w:tcPr>
            <w:tcW w:w="1747" w:type="dxa"/>
            <w:vAlign w:val="center"/>
          </w:tcPr>
          <w:p w14:paraId="514A193B" w14:textId="77777777" w:rsidR="00046C9E" w:rsidRPr="00430E46" w:rsidRDefault="00046C9E" w:rsidP="00C00330">
            <w:pPr>
              <w:spacing w:before="120" w:after="120"/>
              <w:rPr>
                <w:sz w:val="26"/>
                <w:szCs w:val="26"/>
              </w:rPr>
            </w:pPr>
            <w:r>
              <w:rPr>
                <w:sz w:val="26"/>
                <w:szCs w:val="26"/>
              </w:rPr>
              <w:t>GDTX</w:t>
            </w:r>
            <w:r w:rsidRPr="00430E46">
              <w:rPr>
                <w:sz w:val="26"/>
                <w:szCs w:val="26"/>
              </w:rPr>
              <w:t xml:space="preserve"> THCS</w:t>
            </w:r>
          </w:p>
        </w:tc>
        <w:tc>
          <w:tcPr>
            <w:tcW w:w="1134" w:type="dxa"/>
            <w:vAlign w:val="center"/>
          </w:tcPr>
          <w:p w14:paraId="22B6C201" w14:textId="77777777" w:rsidR="00046C9E" w:rsidRPr="00430E46" w:rsidRDefault="00046C9E" w:rsidP="00C00330">
            <w:pPr>
              <w:shd w:val="clear" w:color="auto" w:fill="FFFFFF"/>
              <w:spacing w:before="120" w:after="120"/>
              <w:jc w:val="both"/>
              <w:rPr>
                <w:sz w:val="26"/>
                <w:szCs w:val="26"/>
              </w:rPr>
            </w:pPr>
            <w:r w:rsidRPr="00430E46">
              <w:rPr>
                <w:sz w:val="26"/>
                <w:szCs w:val="26"/>
              </w:rPr>
              <w:t>60.000</w:t>
            </w:r>
          </w:p>
        </w:tc>
        <w:tc>
          <w:tcPr>
            <w:tcW w:w="1134" w:type="dxa"/>
            <w:vAlign w:val="center"/>
          </w:tcPr>
          <w:p w14:paraId="583D6479" w14:textId="77777777" w:rsidR="00046C9E" w:rsidRPr="00430E46" w:rsidRDefault="00046C9E" w:rsidP="00C00330">
            <w:pPr>
              <w:shd w:val="clear" w:color="auto" w:fill="FFFFFF"/>
              <w:spacing w:before="120" w:after="120"/>
              <w:jc w:val="both"/>
              <w:rPr>
                <w:sz w:val="26"/>
                <w:szCs w:val="26"/>
              </w:rPr>
            </w:pPr>
            <w:r w:rsidRPr="00430E46">
              <w:rPr>
                <w:sz w:val="26"/>
                <w:szCs w:val="26"/>
              </w:rPr>
              <w:t>30.000</w:t>
            </w:r>
          </w:p>
        </w:tc>
        <w:tc>
          <w:tcPr>
            <w:tcW w:w="1134" w:type="dxa"/>
            <w:vAlign w:val="center"/>
          </w:tcPr>
          <w:p w14:paraId="46445411" w14:textId="77777777" w:rsidR="00046C9E" w:rsidRPr="00430E46" w:rsidRDefault="00046C9E" w:rsidP="00C00330">
            <w:pPr>
              <w:spacing w:before="120" w:after="120"/>
              <w:jc w:val="center"/>
              <w:rPr>
                <w:sz w:val="26"/>
                <w:szCs w:val="26"/>
              </w:rPr>
            </w:pPr>
            <w:r w:rsidRPr="00430E46">
              <w:rPr>
                <w:sz w:val="26"/>
                <w:szCs w:val="26"/>
              </w:rPr>
              <w:t>300.000</w:t>
            </w:r>
          </w:p>
        </w:tc>
        <w:tc>
          <w:tcPr>
            <w:tcW w:w="1134" w:type="dxa"/>
            <w:vAlign w:val="center"/>
          </w:tcPr>
          <w:p w14:paraId="4659EF69" w14:textId="77777777" w:rsidR="00046C9E" w:rsidRPr="00430E46" w:rsidRDefault="00046C9E" w:rsidP="00C00330">
            <w:pPr>
              <w:spacing w:before="120" w:after="120"/>
              <w:jc w:val="center"/>
              <w:rPr>
                <w:sz w:val="26"/>
                <w:szCs w:val="26"/>
              </w:rPr>
            </w:pPr>
            <w:r w:rsidRPr="00430E46">
              <w:rPr>
                <w:sz w:val="26"/>
                <w:szCs w:val="26"/>
              </w:rPr>
              <w:t>100.000</w:t>
            </w:r>
          </w:p>
        </w:tc>
        <w:tc>
          <w:tcPr>
            <w:tcW w:w="1276" w:type="dxa"/>
          </w:tcPr>
          <w:p w14:paraId="034263D1" w14:textId="77777777" w:rsidR="00046C9E" w:rsidRPr="00430E46" w:rsidRDefault="00046C9E" w:rsidP="00C00330">
            <w:pPr>
              <w:spacing w:before="120" w:after="120"/>
              <w:jc w:val="center"/>
              <w:rPr>
                <w:sz w:val="26"/>
                <w:szCs w:val="26"/>
              </w:rPr>
            </w:pPr>
            <w:r>
              <w:rPr>
                <w:sz w:val="26"/>
                <w:szCs w:val="26"/>
              </w:rPr>
              <w:t>2</w:t>
            </w:r>
            <w:r w:rsidRPr="00430E46">
              <w:rPr>
                <w:sz w:val="26"/>
                <w:szCs w:val="26"/>
              </w:rPr>
              <w:t>40.000</w:t>
            </w:r>
          </w:p>
        </w:tc>
        <w:tc>
          <w:tcPr>
            <w:tcW w:w="1275" w:type="dxa"/>
          </w:tcPr>
          <w:p w14:paraId="24FC0625" w14:textId="77777777" w:rsidR="00046C9E" w:rsidRPr="00430E46" w:rsidRDefault="00046C9E" w:rsidP="00C00330">
            <w:pPr>
              <w:spacing w:before="120" w:after="120"/>
              <w:jc w:val="center"/>
              <w:rPr>
                <w:sz w:val="26"/>
                <w:szCs w:val="26"/>
              </w:rPr>
            </w:pPr>
            <w:r>
              <w:rPr>
                <w:sz w:val="26"/>
                <w:szCs w:val="26"/>
              </w:rPr>
              <w:t>7</w:t>
            </w:r>
            <w:r w:rsidRPr="00430E46">
              <w:rPr>
                <w:sz w:val="26"/>
                <w:szCs w:val="26"/>
              </w:rPr>
              <w:t>0.000</w:t>
            </w:r>
          </w:p>
        </w:tc>
      </w:tr>
      <w:tr w:rsidR="00046C9E" w:rsidRPr="00430E46" w14:paraId="0914F2FF" w14:textId="77777777" w:rsidTr="00C00330">
        <w:trPr>
          <w:trHeight w:val="460"/>
        </w:trPr>
        <w:tc>
          <w:tcPr>
            <w:tcW w:w="1747" w:type="dxa"/>
            <w:vAlign w:val="center"/>
          </w:tcPr>
          <w:p w14:paraId="3CA0A189" w14:textId="77777777" w:rsidR="00046C9E" w:rsidRPr="00430E46" w:rsidRDefault="00046C9E" w:rsidP="00C00330">
            <w:pPr>
              <w:spacing w:before="120" w:after="120"/>
              <w:rPr>
                <w:sz w:val="26"/>
                <w:szCs w:val="26"/>
              </w:rPr>
            </w:pPr>
            <w:r w:rsidRPr="00430E46">
              <w:rPr>
                <w:sz w:val="26"/>
                <w:szCs w:val="26"/>
              </w:rPr>
              <w:t>THPT</w:t>
            </w:r>
          </w:p>
        </w:tc>
        <w:tc>
          <w:tcPr>
            <w:tcW w:w="1134" w:type="dxa"/>
            <w:vAlign w:val="center"/>
          </w:tcPr>
          <w:p w14:paraId="7961D46A" w14:textId="77777777" w:rsidR="00046C9E" w:rsidRPr="00430E46" w:rsidRDefault="00046C9E" w:rsidP="00C00330">
            <w:pPr>
              <w:shd w:val="clear" w:color="auto" w:fill="FFFFFF"/>
              <w:spacing w:before="120" w:after="120"/>
              <w:jc w:val="both"/>
              <w:rPr>
                <w:sz w:val="26"/>
                <w:szCs w:val="26"/>
              </w:rPr>
            </w:pPr>
            <w:r w:rsidRPr="00430E46">
              <w:rPr>
                <w:sz w:val="26"/>
                <w:szCs w:val="26"/>
              </w:rPr>
              <w:t>120.000</w:t>
            </w:r>
          </w:p>
        </w:tc>
        <w:tc>
          <w:tcPr>
            <w:tcW w:w="1134" w:type="dxa"/>
            <w:vAlign w:val="center"/>
          </w:tcPr>
          <w:p w14:paraId="391EE9EF" w14:textId="77777777" w:rsidR="00046C9E" w:rsidRPr="00430E46" w:rsidRDefault="00046C9E" w:rsidP="00C00330">
            <w:pPr>
              <w:shd w:val="clear" w:color="auto" w:fill="FFFFFF"/>
              <w:spacing w:before="120" w:after="120"/>
              <w:jc w:val="both"/>
              <w:rPr>
                <w:sz w:val="26"/>
                <w:szCs w:val="26"/>
              </w:rPr>
            </w:pPr>
            <w:r w:rsidRPr="00430E46">
              <w:rPr>
                <w:sz w:val="26"/>
                <w:szCs w:val="26"/>
              </w:rPr>
              <w:t>100.000</w:t>
            </w:r>
          </w:p>
        </w:tc>
        <w:tc>
          <w:tcPr>
            <w:tcW w:w="1134" w:type="dxa"/>
            <w:vAlign w:val="center"/>
          </w:tcPr>
          <w:p w14:paraId="72014060" w14:textId="77777777" w:rsidR="00046C9E" w:rsidRPr="00430E46" w:rsidRDefault="00046C9E" w:rsidP="00C00330">
            <w:pPr>
              <w:spacing w:before="120" w:after="120"/>
              <w:jc w:val="center"/>
              <w:rPr>
                <w:sz w:val="26"/>
                <w:szCs w:val="26"/>
              </w:rPr>
            </w:pPr>
            <w:r w:rsidRPr="00430E46">
              <w:rPr>
                <w:sz w:val="26"/>
                <w:szCs w:val="26"/>
              </w:rPr>
              <w:t>300.000</w:t>
            </w:r>
          </w:p>
        </w:tc>
        <w:tc>
          <w:tcPr>
            <w:tcW w:w="1134" w:type="dxa"/>
            <w:vAlign w:val="center"/>
          </w:tcPr>
          <w:p w14:paraId="350F98D0" w14:textId="77777777" w:rsidR="00046C9E" w:rsidRPr="00430E46" w:rsidRDefault="00046C9E" w:rsidP="00C00330">
            <w:pPr>
              <w:spacing w:before="120" w:after="120"/>
              <w:jc w:val="center"/>
              <w:rPr>
                <w:sz w:val="26"/>
                <w:szCs w:val="26"/>
              </w:rPr>
            </w:pPr>
            <w:r w:rsidRPr="00430E46">
              <w:rPr>
                <w:sz w:val="26"/>
                <w:szCs w:val="26"/>
              </w:rPr>
              <w:t>200.000</w:t>
            </w:r>
          </w:p>
        </w:tc>
        <w:tc>
          <w:tcPr>
            <w:tcW w:w="1276" w:type="dxa"/>
          </w:tcPr>
          <w:p w14:paraId="326639CE" w14:textId="77777777" w:rsidR="00046C9E" w:rsidRPr="00430E46" w:rsidRDefault="00046C9E" w:rsidP="00C00330">
            <w:pPr>
              <w:spacing w:before="120" w:after="120"/>
              <w:jc w:val="center"/>
              <w:rPr>
                <w:sz w:val="26"/>
                <w:szCs w:val="26"/>
              </w:rPr>
            </w:pPr>
            <w:r w:rsidRPr="00430E46">
              <w:rPr>
                <w:sz w:val="26"/>
                <w:szCs w:val="26"/>
              </w:rPr>
              <w:t>180.000</w:t>
            </w:r>
          </w:p>
        </w:tc>
        <w:tc>
          <w:tcPr>
            <w:tcW w:w="1275" w:type="dxa"/>
          </w:tcPr>
          <w:p w14:paraId="16C4704D" w14:textId="77777777" w:rsidR="00046C9E" w:rsidRPr="00430E46" w:rsidRDefault="00046C9E" w:rsidP="00C00330">
            <w:pPr>
              <w:spacing w:before="120" w:after="120"/>
              <w:jc w:val="center"/>
              <w:rPr>
                <w:sz w:val="26"/>
                <w:szCs w:val="26"/>
              </w:rPr>
            </w:pPr>
            <w:r w:rsidRPr="00430E46">
              <w:rPr>
                <w:sz w:val="26"/>
                <w:szCs w:val="26"/>
              </w:rPr>
              <w:t>100.000</w:t>
            </w:r>
          </w:p>
        </w:tc>
      </w:tr>
      <w:tr w:rsidR="00046C9E" w:rsidRPr="00430E46" w14:paraId="54AEDEFD" w14:textId="77777777" w:rsidTr="00C00330">
        <w:trPr>
          <w:trHeight w:val="460"/>
        </w:trPr>
        <w:tc>
          <w:tcPr>
            <w:tcW w:w="1747" w:type="dxa"/>
            <w:vAlign w:val="center"/>
          </w:tcPr>
          <w:p w14:paraId="03BADCE2" w14:textId="77777777" w:rsidR="00046C9E" w:rsidRPr="00430E46" w:rsidRDefault="00046C9E" w:rsidP="00C00330">
            <w:pPr>
              <w:spacing w:before="120" w:after="120"/>
              <w:rPr>
                <w:sz w:val="26"/>
                <w:szCs w:val="26"/>
              </w:rPr>
            </w:pPr>
            <w:r>
              <w:rPr>
                <w:sz w:val="26"/>
                <w:szCs w:val="26"/>
              </w:rPr>
              <w:t xml:space="preserve">GDTX </w:t>
            </w:r>
            <w:r w:rsidRPr="00430E46">
              <w:rPr>
                <w:sz w:val="26"/>
                <w:szCs w:val="26"/>
              </w:rPr>
              <w:t>THPT</w:t>
            </w:r>
          </w:p>
        </w:tc>
        <w:tc>
          <w:tcPr>
            <w:tcW w:w="1134" w:type="dxa"/>
            <w:vAlign w:val="center"/>
          </w:tcPr>
          <w:p w14:paraId="32B87F14" w14:textId="77777777" w:rsidR="00046C9E" w:rsidRPr="00430E46" w:rsidRDefault="00046C9E" w:rsidP="00C00330">
            <w:pPr>
              <w:shd w:val="clear" w:color="auto" w:fill="FFFFFF"/>
              <w:spacing w:before="120" w:after="120"/>
              <w:jc w:val="both"/>
              <w:rPr>
                <w:sz w:val="26"/>
                <w:szCs w:val="26"/>
              </w:rPr>
            </w:pPr>
            <w:r w:rsidRPr="00430E46">
              <w:rPr>
                <w:sz w:val="26"/>
                <w:szCs w:val="26"/>
              </w:rPr>
              <w:t>120.000</w:t>
            </w:r>
          </w:p>
        </w:tc>
        <w:tc>
          <w:tcPr>
            <w:tcW w:w="1134" w:type="dxa"/>
            <w:vAlign w:val="center"/>
          </w:tcPr>
          <w:p w14:paraId="6AEFE5D9" w14:textId="77777777" w:rsidR="00046C9E" w:rsidRPr="00430E46" w:rsidRDefault="00046C9E" w:rsidP="00C00330">
            <w:pPr>
              <w:shd w:val="clear" w:color="auto" w:fill="FFFFFF"/>
              <w:spacing w:before="120" w:after="120"/>
              <w:jc w:val="both"/>
              <w:rPr>
                <w:sz w:val="26"/>
                <w:szCs w:val="26"/>
              </w:rPr>
            </w:pPr>
            <w:r w:rsidRPr="00430E46">
              <w:rPr>
                <w:sz w:val="26"/>
                <w:szCs w:val="26"/>
              </w:rPr>
              <w:t>100.000</w:t>
            </w:r>
          </w:p>
        </w:tc>
        <w:tc>
          <w:tcPr>
            <w:tcW w:w="1134" w:type="dxa"/>
            <w:vAlign w:val="center"/>
          </w:tcPr>
          <w:p w14:paraId="1051AFE5" w14:textId="77777777" w:rsidR="00046C9E" w:rsidRPr="00430E46" w:rsidRDefault="00046C9E" w:rsidP="00C00330">
            <w:pPr>
              <w:spacing w:before="120" w:after="120"/>
              <w:jc w:val="center"/>
              <w:rPr>
                <w:sz w:val="26"/>
                <w:szCs w:val="26"/>
              </w:rPr>
            </w:pPr>
            <w:r w:rsidRPr="00430E46">
              <w:rPr>
                <w:sz w:val="26"/>
                <w:szCs w:val="26"/>
              </w:rPr>
              <w:t>300.000</w:t>
            </w:r>
          </w:p>
        </w:tc>
        <w:tc>
          <w:tcPr>
            <w:tcW w:w="1134" w:type="dxa"/>
            <w:vAlign w:val="center"/>
          </w:tcPr>
          <w:p w14:paraId="28D5939F" w14:textId="77777777" w:rsidR="00046C9E" w:rsidRPr="00430E46" w:rsidRDefault="00046C9E" w:rsidP="00C00330">
            <w:pPr>
              <w:spacing w:before="120" w:after="120"/>
              <w:jc w:val="center"/>
              <w:rPr>
                <w:sz w:val="26"/>
                <w:szCs w:val="26"/>
              </w:rPr>
            </w:pPr>
            <w:r w:rsidRPr="00430E46">
              <w:rPr>
                <w:sz w:val="26"/>
                <w:szCs w:val="26"/>
              </w:rPr>
              <w:t>200.000</w:t>
            </w:r>
          </w:p>
        </w:tc>
        <w:tc>
          <w:tcPr>
            <w:tcW w:w="1276" w:type="dxa"/>
          </w:tcPr>
          <w:p w14:paraId="248D13C7" w14:textId="77777777" w:rsidR="00046C9E" w:rsidRPr="00430E46" w:rsidRDefault="00046C9E" w:rsidP="00C00330">
            <w:pPr>
              <w:spacing w:before="120" w:after="120"/>
              <w:jc w:val="center"/>
              <w:rPr>
                <w:sz w:val="26"/>
                <w:szCs w:val="26"/>
              </w:rPr>
            </w:pPr>
            <w:r w:rsidRPr="00430E46">
              <w:rPr>
                <w:sz w:val="26"/>
                <w:szCs w:val="26"/>
              </w:rPr>
              <w:t>180.000</w:t>
            </w:r>
          </w:p>
        </w:tc>
        <w:tc>
          <w:tcPr>
            <w:tcW w:w="1275" w:type="dxa"/>
          </w:tcPr>
          <w:p w14:paraId="533C8B0A" w14:textId="77777777" w:rsidR="00046C9E" w:rsidRPr="00430E46" w:rsidRDefault="00046C9E" w:rsidP="00C00330">
            <w:pPr>
              <w:spacing w:before="120" w:after="120"/>
              <w:jc w:val="center"/>
              <w:rPr>
                <w:sz w:val="26"/>
                <w:szCs w:val="26"/>
              </w:rPr>
            </w:pPr>
            <w:r w:rsidRPr="00430E46">
              <w:rPr>
                <w:sz w:val="26"/>
                <w:szCs w:val="26"/>
              </w:rPr>
              <w:t>100.000</w:t>
            </w:r>
          </w:p>
        </w:tc>
      </w:tr>
    </w:tbl>
    <w:p w14:paraId="53AD8060" w14:textId="77777777" w:rsidR="00544FC4" w:rsidRPr="00544FC4" w:rsidRDefault="00544FC4" w:rsidP="00C729B5">
      <w:pPr>
        <w:spacing w:before="120" w:after="120"/>
        <w:ind w:firstLine="567"/>
        <w:jc w:val="both"/>
        <w:rPr>
          <w:iCs/>
          <w:shd w:val="clear" w:color="auto" w:fill="FFFFFF"/>
          <w:lang w:val="ms-MY"/>
        </w:rPr>
      </w:pPr>
      <w:r w:rsidRPr="00544FC4">
        <w:rPr>
          <w:iCs/>
          <w:shd w:val="clear" w:color="auto" w:fill="FFFFFF"/>
          <w:lang w:val="ms-MY"/>
        </w:rPr>
        <w:t xml:space="preserve">- </w:t>
      </w:r>
      <w:r w:rsidR="007A6FCA">
        <w:rPr>
          <w:iCs/>
          <w:shd w:val="clear" w:color="auto" w:fill="FFFFFF"/>
          <w:lang w:val="ms-MY"/>
        </w:rPr>
        <w:t xml:space="preserve">Tại điểm b khoản 4 Điều 8 Chương II của Nghị định </w:t>
      </w:r>
      <w:r w:rsidR="00E159CA" w:rsidRPr="00C15B16">
        <w:t>số 81/2021/NĐ-CP</w:t>
      </w:r>
      <w:r w:rsidR="00E159CA">
        <w:t xml:space="preserve"> </w:t>
      </w:r>
      <w:r w:rsidR="007A6FCA">
        <w:rPr>
          <w:iCs/>
          <w:shd w:val="clear" w:color="auto" w:fill="FFFFFF"/>
          <w:lang w:val="ms-MY"/>
        </w:rPr>
        <w:t xml:space="preserve">nguyên tắc xác định học phí đối với cơ sở giáo dục dân lập, tư thục: </w:t>
      </w:r>
      <w:r w:rsidR="007A6FCA" w:rsidRPr="007A6FCA">
        <w:rPr>
          <w:i/>
          <w:iCs/>
          <w:shd w:val="clear" w:color="auto" w:fill="FFFFFF"/>
          <w:lang w:val="ms-MY"/>
        </w:rPr>
        <w:t xml:space="preserve">“Cơ sở giáo dục dân lập, tư thục có trách nhiệm thuyết minh chi phí giáo dục, đào tạo bình quân một </w:t>
      </w:r>
      <w:r w:rsidR="007A6FCA" w:rsidRPr="007A6FCA">
        <w:rPr>
          <w:i/>
          <w:iCs/>
          <w:shd w:val="clear" w:color="auto" w:fill="FFFFFF"/>
          <w:lang w:val="ms-MY"/>
        </w:rPr>
        <w:lastRenderedPageBreak/>
        <w:t>học sinh, mức thu học phí hàng năm, mức thu học phí toàn cấp học đối với giáo dục mầm non, giáo dục phổ thông và toàn khóa học đối với cơ sở giáo dục đại học; thuyết minh lộ trình và tỷ lệ tăng học phí các năm tiếp theo (tỷ lệ tăng hằng năm không quá 15% đối với đào tạo đại học; tỷ lệ tăng không quá 10% đối với giáo dục mầm non, giáo dục phổ thông) và thực hiện công khai theo quy định của pháp luật và giải trình với người học, xã hội;”</w:t>
      </w:r>
      <w:r w:rsidR="007A6FCA">
        <w:rPr>
          <w:iCs/>
          <w:shd w:val="clear" w:color="auto" w:fill="FFFFFF"/>
          <w:lang w:val="ms-MY"/>
        </w:rPr>
        <w:t>. Mức</w:t>
      </w:r>
      <w:r w:rsidRPr="00544FC4">
        <w:rPr>
          <w:iCs/>
          <w:shd w:val="clear" w:color="auto" w:fill="FFFFFF"/>
          <w:lang w:val="ms-MY"/>
        </w:rPr>
        <w:t xml:space="preserve"> học phí trường ngoài công lập được xây dựng theo nguyên tắc thỏa thuận giữa nhà trường và phụ huynh người học </w:t>
      </w:r>
      <w:r w:rsidR="007A6FCA">
        <w:rPr>
          <w:iCs/>
          <w:shd w:val="clear" w:color="auto" w:fill="FFFFFF"/>
          <w:lang w:val="ms-MY"/>
        </w:rPr>
        <w:t>nhưng t</w:t>
      </w:r>
      <w:r w:rsidRPr="00544FC4">
        <w:rPr>
          <w:iCs/>
          <w:shd w:val="clear" w:color="auto" w:fill="FFFFFF"/>
          <w:lang w:val="ms-MY"/>
        </w:rPr>
        <w:t>hực tế trong tình hình diễn biến dịch bệnh Covid-19 vừa qua là chưa có tiền lệ, các trường phải chuyển từ dạy trực tiếp sang trực tuyến (online), dẫn đến phát sinh vấn để thay đổi mức học phí. Mặc dù Sở Giáo dục và Đào tạo cùng các cơ quan chức năng của quận-huyện đã cố gắng phối hợp giải quyết theo quy định pháp luật nhưng vẫn phát sinh những tra</w:t>
      </w:r>
      <w:r w:rsidR="00740A70">
        <w:rPr>
          <w:iCs/>
          <w:shd w:val="clear" w:color="auto" w:fill="FFFFFF"/>
          <w:lang w:val="ms-MY"/>
        </w:rPr>
        <w:t>nh chấp do không thể đảm bảo hài</w:t>
      </w:r>
      <w:r w:rsidRPr="00544FC4">
        <w:rPr>
          <w:iCs/>
          <w:shd w:val="clear" w:color="auto" w:fill="FFFFFF"/>
          <w:lang w:val="ms-MY"/>
        </w:rPr>
        <w:t xml:space="preserve"> hòa được lợi ích của các bên trong quan hệ dân sự này. </w:t>
      </w:r>
    </w:p>
    <w:p w14:paraId="4222D55E" w14:textId="77777777" w:rsidR="00544FC4" w:rsidRPr="00544FC4" w:rsidRDefault="00544FC4" w:rsidP="00C729B5">
      <w:pPr>
        <w:spacing w:before="120" w:after="120"/>
        <w:ind w:firstLine="567"/>
        <w:jc w:val="both"/>
        <w:rPr>
          <w:iCs/>
          <w:shd w:val="clear" w:color="auto" w:fill="FFFFFF"/>
          <w:lang w:val="ms-MY"/>
        </w:rPr>
      </w:pPr>
      <w:r w:rsidRPr="00544FC4">
        <w:rPr>
          <w:iCs/>
          <w:shd w:val="clear" w:color="auto" w:fill="FFFFFF"/>
          <w:lang w:val="ms-MY"/>
        </w:rPr>
        <w:t xml:space="preserve">Ngoài ra các đơn vị ngoài công lập hoạt động theo Luật Doanh nghiệp nên mức thu học phí phải đảm bảo quyền lợi của nhà đầu tư đồng thời chưa có kiểm định chất lượng của các cơ quan chức năng để phân định rõ sự hỗ trợ của Nhà nước dành cho người học thông qua chính sách đất đai, thuế, tín dụng mà người học được hưởng phần hỗ trợ của nhà nước để bù trừ trong giá học phí. </w:t>
      </w:r>
    </w:p>
    <w:p w14:paraId="4D603F9B" w14:textId="77777777" w:rsidR="00332BA9" w:rsidRDefault="00544FC4" w:rsidP="00C729B5">
      <w:pPr>
        <w:spacing w:before="120" w:after="120"/>
        <w:ind w:firstLine="567"/>
        <w:jc w:val="both"/>
        <w:rPr>
          <w:iCs/>
          <w:shd w:val="clear" w:color="auto" w:fill="FFFFFF"/>
          <w:lang w:val="ms-MY"/>
        </w:rPr>
      </w:pPr>
      <w:r w:rsidRPr="00544FC4">
        <w:rPr>
          <w:iCs/>
          <w:shd w:val="clear" w:color="auto" w:fill="FFFFFF"/>
          <w:lang w:val="ms-MY"/>
        </w:rPr>
        <w:t>Thực hiện chủ trương xã hội hóa giáo dục ở các trường ngoài công lập là một giải pháp đúng đắn và phù hợp với chủ trương của thành phố. Thực hiện triển khai chủ trương ở một số cấp học phổ thông và đặc biệt đối với bậc học mầm non khi xác định các mức thu chỉ tính đến yếu tố kinh tế để thu học phí của học sinh sẽ gây khó khăn cho bộ phận dân nhập cư, công nhân lao động ở các khu chế xuất, khu công nghiệp.</w:t>
      </w:r>
    </w:p>
    <w:p w14:paraId="0074E997" w14:textId="77777777" w:rsidR="001E3C5F" w:rsidRPr="008E197F" w:rsidRDefault="00544FC4" w:rsidP="00C729B5">
      <w:pPr>
        <w:spacing w:before="120" w:after="120"/>
        <w:ind w:firstLine="567"/>
        <w:jc w:val="both"/>
        <w:rPr>
          <w:b/>
          <w:iCs/>
          <w:color w:val="000000"/>
          <w:lang w:val="vi-VN"/>
        </w:rPr>
      </w:pPr>
      <w:r w:rsidRPr="00544FC4">
        <w:rPr>
          <w:iCs/>
          <w:shd w:val="clear" w:color="auto" w:fill="FFFFFF"/>
          <w:lang w:val="ms-MY"/>
        </w:rPr>
        <w:t xml:space="preserve"> </w:t>
      </w:r>
      <w:r w:rsidR="001E3C5F" w:rsidRPr="008E197F">
        <w:rPr>
          <w:b/>
          <w:iCs/>
          <w:color w:val="000000"/>
          <w:lang w:val="vi-VN"/>
        </w:rPr>
        <w:t>2. Mục tiêu giải quyết vấn đề</w:t>
      </w:r>
    </w:p>
    <w:p w14:paraId="2031F5E3" w14:textId="77777777" w:rsidR="001E3C5F" w:rsidRPr="00CF002F" w:rsidRDefault="001E3C5F" w:rsidP="00C729B5">
      <w:pPr>
        <w:pStyle w:val="05NidungVB"/>
        <w:spacing w:before="120" w:line="240" w:lineRule="auto"/>
        <w:ind w:firstLine="720"/>
        <w:rPr>
          <w:iCs/>
          <w:lang w:val="vi-VN"/>
        </w:rPr>
      </w:pPr>
      <w:r w:rsidRPr="00CF002F">
        <w:rPr>
          <w:iCs/>
          <w:lang w:val="vi-VN"/>
        </w:rPr>
        <w:t>- Đảm bảo tính pháp lý của chính sách.</w:t>
      </w:r>
    </w:p>
    <w:p w14:paraId="37B2C980" w14:textId="77777777" w:rsidR="001E3C5F" w:rsidRPr="00CF002F" w:rsidRDefault="001E3C5F" w:rsidP="00C729B5">
      <w:pPr>
        <w:pStyle w:val="05NidungVB"/>
        <w:spacing w:before="120" w:line="240" w:lineRule="auto"/>
        <w:ind w:firstLine="720"/>
        <w:rPr>
          <w:iCs/>
          <w:lang w:val="vi-VN"/>
        </w:rPr>
      </w:pPr>
      <w:r w:rsidRPr="00CF002F">
        <w:rPr>
          <w:iCs/>
          <w:lang w:val="vi-VN"/>
        </w:rPr>
        <w:t>- Phù hợp với khả năng nguồn lực và thực tiễn.</w:t>
      </w:r>
    </w:p>
    <w:p w14:paraId="60E91624" w14:textId="77777777" w:rsidR="001E3C5F" w:rsidRPr="00C3555B" w:rsidRDefault="001E3C5F" w:rsidP="00C729B5">
      <w:pPr>
        <w:pStyle w:val="NormalWeb"/>
        <w:shd w:val="clear" w:color="auto" w:fill="FFFFFF"/>
        <w:spacing w:before="120" w:beforeAutospacing="0" w:after="120" w:afterAutospacing="0"/>
        <w:ind w:firstLine="720"/>
        <w:rPr>
          <w:b/>
          <w:color w:val="000000"/>
          <w:sz w:val="28"/>
          <w:szCs w:val="28"/>
          <w:lang w:val="vi-VN"/>
        </w:rPr>
      </w:pPr>
      <w:r w:rsidRPr="008E197F">
        <w:rPr>
          <w:b/>
          <w:iCs/>
          <w:color w:val="000000"/>
          <w:sz w:val="28"/>
          <w:szCs w:val="28"/>
          <w:lang w:val="vi-VN"/>
        </w:rPr>
        <w:t xml:space="preserve">3. </w:t>
      </w:r>
      <w:r w:rsidRPr="008E197F">
        <w:rPr>
          <w:b/>
          <w:color w:val="000000"/>
          <w:sz w:val="28"/>
          <w:szCs w:val="28"/>
          <w:lang w:val="vi-VN"/>
        </w:rPr>
        <w:t>Các giải pháp đề xuất để giải quyết vấn đề</w:t>
      </w:r>
    </w:p>
    <w:p w14:paraId="6903551E" w14:textId="77777777" w:rsidR="001E3C5F" w:rsidRPr="00CF002F" w:rsidRDefault="001E3C5F" w:rsidP="00C729B5">
      <w:pPr>
        <w:pStyle w:val="05NidungVB"/>
        <w:spacing w:before="120" w:line="240" w:lineRule="auto"/>
        <w:ind w:firstLine="720"/>
        <w:rPr>
          <w:iCs/>
          <w:lang w:val="vi-VN"/>
        </w:rPr>
      </w:pPr>
      <w:r w:rsidRPr="00CF002F">
        <w:rPr>
          <w:iCs/>
          <w:lang w:val="vi-VN"/>
        </w:rPr>
        <w:t xml:space="preserve">- Nghiên cứu </w:t>
      </w:r>
      <w:r w:rsidR="00CF002F" w:rsidRPr="00CF002F">
        <w:rPr>
          <w:iCs/>
          <w:lang w:val="vi-VN"/>
        </w:rPr>
        <w:t>đánh giá tá</w:t>
      </w:r>
      <w:r w:rsidR="00CF002F">
        <w:rPr>
          <w:iCs/>
          <w:lang w:val="vi-VN"/>
        </w:rPr>
        <w:t xml:space="preserve">c động của </w:t>
      </w:r>
      <w:r w:rsidR="00285732" w:rsidRPr="00285732">
        <w:rPr>
          <w:iCs/>
          <w:lang w:val="vi-VN"/>
        </w:rPr>
        <w:t>quy định mức học phí đối với giáo dục mầm no</w:t>
      </w:r>
      <w:r w:rsidR="00285732">
        <w:rPr>
          <w:iCs/>
          <w:lang w:val="vi-VN"/>
        </w:rPr>
        <w:t xml:space="preserve">n, giáo dục phổ thông công lập </w:t>
      </w:r>
      <w:r w:rsidR="00C83486">
        <w:rPr>
          <w:iCs/>
          <w:lang w:val="en-US"/>
        </w:rPr>
        <w:t xml:space="preserve">từ </w:t>
      </w:r>
      <w:r w:rsidR="00285732" w:rsidRPr="00285732">
        <w:rPr>
          <w:iCs/>
          <w:lang w:val="vi-VN"/>
        </w:rPr>
        <w:t xml:space="preserve">năm học 2022-2023 </w:t>
      </w:r>
      <w:r w:rsidR="00C83486">
        <w:rPr>
          <w:iCs/>
          <w:lang w:val="en-US"/>
        </w:rPr>
        <w:t xml:space="preserve">và các năm học tiếp theo </w:t>
      </w:r>
      <w:r w:rsidR="00285732" w:rsidRPr="00285732">
        <w:rPr>
          <w:iCs/>
          <w:lang w:val="vi-VN"/>
        </w:rPr>
        <w:t>trên địa bàn Thành phố Hồ Chí Minh</w:t>
      </w:r>
      <w:r w:rsidR="00CF002F" w:rsidRPr="00CF002F">
        <w:rPr>
          <w:iCs/>
          <w:lang w:val="vi-VN"/>
        </w:rPr>
        <w:t xml:space="preserve"> theo Nghị định số 81/2021/NĐ-CP ngày 27 tháng 08 năm 2021 của Chính phủ</w:t>
      </w:r>
      <w:r w:rsidRPr="00CF002F">
        <w:rPr>
          <w:iCs/>
          <w:lang w:val="vi-VN"/>
        </w:rPr>
        <w:t>.</w:t>
      </w:r>
    </w:p>
    <w:p w14:paraId="3FE54B45" w14:textId="77777777" w:rsidR="001E3C5F" w:rsidRPr="00CF002F" w:rsidRDefault="001E3C5F" w:rsidP="00C729B5">
      <w:pPr>
        <w:pStyle w:val="05NidungVB"/>
        <w:spacing w:before="120" w:line="240" w:lineRule="auto"/>
        <w:ind w:firstLine="720"/>
        <w:rPr>
          <w:iCs/>
          <w:lang w:val="vi-VN"/>
        </w:rPr>
      </w:pPr>
      <w:r w:rsidRPr="00CF002F">
        <w:rPr>
          <w:iCs/>
          <w:lang w:val="vi-VN"/>
        </w:rPr>
        <w:t>- Nghiên cứu cơ sở pháp lý và thẩm quyền.</w:t>
      </w:r>
    </w:p>
    <w:p w14:paraId="5A857B12" w14:textId="77777777" w:rsidR="001E3C5F" w:rsidRPr="00C3555B" w:rsidRDefault="001E3C5F" w:rsidP="00C729B5">
      <w:pPr>
        <w:pStyle w:val="NormalWeb"/>
        <w:shd w:val="clear" w:color="auto" w:fill="FFFFFF"/>
        <w:spacing w:before="120" w:beforeAutospacing="0" w:after="120" w:afterAutospacing="0"/>
        <w:ind w:firstLine="720"/>
        <w:jc w:val="both"/>
        <w:rPr>
          <w:b/>
          <w:color w:val="000000"/>
          <w:sz w:val="28"/>
          <w:szCs w:val="28"/>
          <w:lang w:val="vi-VN"/>
        </w:rPr>
      </w:pPr>
      <w:r w:rsidRPr="00C3555B">
        <w:rPr>
          <w:b/>
          <w:color w:val="000000"/>
          <w:sz w:val="28"/>
          <w:szCs w:val="28"/>
          <w:lang w:val="vi-VN"/>
        </w:rPr>
        <w:t>4. </w:t>
      </w:r>
      <w:r w:rsidRPr="008E197F">
        <w:rPr>
          <w:b/>
          <w:color w:val="000000"/>
          <w:sz w:val="28"/>
          <w:szCs w:val="28"/>
          <w:lang w:val="vi-VN"/>
        </w:rPr>
        <w:t>Đánh giá tác động của các giả</w:t>
      </w:r>
      <w:r w:rsidRPr="00C3555B">
        <w:rPr>
          <w:b/>
          <w:color w:val="000000"/>
          <w:sz w:val="28"/>
          <w:szCs w:val="28"/>
          <w:lang w:val="vi-VN"/>
        </w:rPr>
        <w:t>i</w:t>
      </w:r>
      <w:r w:rsidRPr="008E197F">
        <w:rPr>
          <w:b/>
          <w:color w:val="000000"/>
          <w:sz w:val="28"/>
          <w:szCs w:val="28"/>
          <w:lang w:val="vi-VN"/>
        </w:rPr>
        <w:t> pháp đối với đối tượng chịu sự tác động trực tiếp của chính sách và các đối tượng khác có liên quan</w:t>
      </w:r>
    </w:p>
    <w:p w14:paraId="4DCF35AF" w14:textId="77777777" w:rsidR="001E3C5F" w:rsidRPr="008E197F" w:rsidRDefault="001E3C5F" w:rsidP="00C729B5">
      <w:pPr>
        <w:pStyle w:val="05NidungVB"/>
        <w:spacing w:before="120" w:line="240" w:lineRule="auto"/>
        <w:ind w:firstLine="720"/>
        <w:rPr>
          <w:b/>
          <w:iCs/>
          <w:color w:val="000000"/>
          <w:lang w:val="vi-VN"/>
        </w:rPr>
      </w:pPr>
      <w:r w:rsidRPr="008E197F">
        <w:rPr>
          <w:b/>
          <w:iCs/>
          <w:color w:val="000000"/>
          <w:lang w:val="vi-VN"/>
        </w:rPr>
        <w:t>4.1. Vấn đề nội dung, định mức</w:t>
      </w:r>
    </w:p>
    <w:p w14:paraId="214B53BE" w14:textId="77777777" w:rsidR="00CF002F" w:rsidRDefault="00935839" w:rsidP="00C729B5">
      <w:pPr>
        <w:pStyle w:val="05NidungVB"/>
        <w:spacing w:before="120" w:line="240" w:lineRule="auto"/>
        <w:ind w:firstLine="720"/>
        <w:rPr>
          <w:iCs/>
          <w:lang w:val="vi-VN"/>
        </w:rPr>
      </w:pPr>
      <w:r w:rsidRPr="0039090E">
        <w:rPr>
          <w:iCs/>
          <w:lang w:val="vi-VN"/>
        </w:rPr>
        <w:t xml:space="preserve">- </w:t>
      </w:r>
      <w:r w:rsidR="00CF002F" w:rsidRPr="00CF002F">
        <w:rPr>
          <w:iCs/>
          <w:lang w:val="vi-VN"/>
        </w:rPr>
        <w:t xml:space="preserve">Khung học phí theo quy định tại Nghị định số 81/2021/NĐ-CP ngày 27 tháng 8 năm 2021 của Chính phủ dựa trên phù hợp với điều kiện kinh tế của từng địa bàn dân cư, khả năng đóng góp thực tế của người dân và tốc độ tăng chỉ số giá tiêu dùng </w:t>
      </w:r>
      <w:r w:rsidR="00CF002F" w:rsidRPr="00CF002F">
        <w:rPr>
          <w:iCs/>
          <w:lang w:val="vi-VN"/>
        </w:rPr>
        <w:lastRenderedPageBreak/>
        <w:t xml:space="preserve">hàng năm hợp lý, tỷ trọng ngân sách đầu tư so với mức thu học phí không tăng do vậy việc điều chỉnh mức học phí theo Nghị định số 81/2021/NĐ-CP ngày 27 tháng 8 năm 2021 của Chính phủ là góp phần với ngân sách nhà nước nhằm nâng cao mức đầu tư trên mỗi học sinh, ngoài ra còn có tác dụng điều tiết ngân sách đầu tư nhiều hơn ở vùng khó khăn, thực hiện tốt tính công bằng trong hệ thống giáo dục. Giải quyết sự bất hợp lý kéo dài về cơ cấu học phí và giá trị đầu tư xã hội đã nhiều lần thay đổi trong nhiều năm qua.  </w:t>
      </w:r>
    </w:p>
    <w:p w14:paraId="61D85958" w14:textId="77777777" w:rsidR="00AB7906" w:rsidRDefault="00CF002F" w:rsidP="00C729B5">
      <w:pPr>
        <w:pStyle w:val="05NidungVB"/>
        <w:spacing w:before="120" w:line="240" w:lineRule="auto"/>
        <w:ind w:firstLine="720"/>
        <w:rPr>
          <w:iCs/>
          <w:lang w:val="vi-VN"/>
        </w:rPr>
      </w:pPr>
      <w:r w:rsidRPr="00CF002F">
        <w:rPr>
          <w:iCs/>
          <w:lang w:val="vi-VN"/>
        </w:rPr>
        <w:t>- Về tác động việc điều chỉnh học phí với xã hội và người học: Trong các nguồn lực tài chính đầu tư cho Giáo dục, ngân sách nhà nước vẫn đóng vai trò chủ yếu. Tuy nhiên trong điều kiện còn hạn hẹp về tài chính, học phí là nguồn bổ sung tài chính quan trọng, thể hiện sự chia sẻ chi phí giữa nhà nước, xã hội và người học để chi phí dạy và học ở các trường đạt mức cần thiết nhằm đảm bảo chất lượng giáo dục.</w:t>
      </w:r>
    </w:p>
    <w:p w14:paraId="43E85D16" w14:textId="77777777" w:rsidR="004460A9" w:rsidRPr="001E3E06" w:rsidRDefault="004460A9" w:rsidP="004460A9">
      <w:pPr>
        <w:spacing w:before="120" w:after="120"/>
        <w:ind w:firstLine="567"/>
        <w:jc w:val="both"/>
        <w:rPr>
          <w:highlight w:val="white"/>
          <w:lang w:val="es-ES"/>
        </w:rPr>
      </w:pPr>
      <w:r w:rsidRPr="001E3E06">
        <w:rPr>
          <w:iCs/>
          <w:lang w:val="vi-VN"/>
        </w:rPr>
        <w:t xml:space="preserve">- </w:t>
      </w:r>
      <w:r w:rsidR="001E3E06" w:rsidRPr="001E3E06">
        <w:rPr>
          <w:iCs/>
        </w:rPr>
        <w:t>V</w:t>
      </w:r>
      <w:r w:rsidRPr="001E3E06">
        <w:rPr>
          <w:iCs/>
          <w:lang w:val="vi-VN"/>
        </w:rPr>
        <w:t xml:space="preserve">iệc </w:t>
      </w:r>
      <w:r w:rsidRPr="001E3E06">
        <w:rPr>
          <w:highlight w:val="white"/>
          <w:lang w:val="es-ES"/>
        </w:rPr>
        <w:t xml:space="preserve">đề xuất </w:t>
      </w:r>
      <w:r w:rsidRPr="001E3E06">
        <w:rPr>
          <w:lang w:val="es-ES"/>
        </w:rPr>
        <w:t xml:space="preserve">mức thu học phí theo hình thức học trực tuyến (học online) bằng </w:t>
      </w:r>
      <w:r w:rsidR="00FF0AC3" w:rsidRPr="001E3E06">
        <w:rPr>
          <w:lang w:val="es-ES"/>
        </w:rPr>
        <w:t>50</w:t>
      </w:r>
      <w:r w:rsidRPr="001E3E06">
        <w:rPr>
          <w:lang w:val="es-ES"/>
        </w:rPr>
        <w:t xml:space="preserve">% mức thu học phí của các cơ sở giáo dục công lập đã được ban hành cũng </w:t>
      </w:r>
      <w:r w:rsidRPr="001E3E06">
        <w:rPr>
          <w:iCs/>
          <w:lang w:val="vi-VN"/>
        </w:rPr>
        <w:t xml:space="preserve">là vấn đề hết sức nhạy cảm. Tuy nhiên, </w:t>
      </w:r>
      <w:r w:rsidRPr="001E3E06">
        <w:rPr>
          <w:highlight w:val="white"/>
          <w:lang w:val="es-ES"/>
        </w:rPr>
        <w:t>trên thực tế, để triển khai dạy học trực tuyến cần có h</w:t>
      </w:r>
      <w:r w:rsidRPr="001E3E06">
        <w:rPr>
          <w:highlight w:val="white"/>
          <w:lang w:val="vi-VN"/>
        </w:rPr>
        <w:t>ệ thống dạy học trực tuyến là phần mềm ứng dụng để tổ chức và quản lý lớp học qua Internet; cho phép giáo viên và học sinh có thể giao tiếp, tương tác trực tiếp được với nhau để tổ chức hoạt động dạy học.</w:t>
      </w:r>
    </w:p>
    <w:p w14:paraId="4447DFD8" w14:textId="77777777" w:rsidR="000413E3" w:rsidRPr="00FF0AC3" w:rsidRDefault="004460A9" w:rsidP="004460A9">
      <w:pPr>
        <w:spacing w:before="120" w:after="120"/>
        <w:ind w:firstLine="567"/>
        <w:jc w:val="both"/>
        <w:outlineLvl w:val="0"/>
        <w:rPr>
          <w:highlight w:val="white"/>
          <w:lang w:val="es-ES"/>
        </w:rPr>
      </w:pPr>
      <w:r w:rsidRPr="00FF0AC3">
        <w:rPr>
          <w:highlight w:val="white"/>
          <w:lang w:val="es-ES"/>
        </w:rPr>
        <w:t xml:space="preserve">Trong thời gian học sinh học trực tuyến các cơ sở giáo dục phải chi </w:t>
      </w:r>
      <w:r w:rsidRPr="00FF0AC3">
        <w:rPr>
          <w:highlight w:val="white"/>
          <w:u w:color="FF0000"/>
          <w:lang w:val="es-ES"/>
        </w:rPr>
        <w:t>trả</w:t>
      </w:r>
      <w:r w:rsidRPr="00FF0AC3">
        <w:rPr>
          <w:highlight w:val="white"/>
          <w:lang w:val="es-ES"/>
        </w:rPr>
        <w:t xml:space="preserve"> chi phí tiền lương của giáo viên trực tiếp giảng dạy, cán bộ quản lý và nhân viên của đơn vị; phải đảm bảo các điều kiện về hạ tầng kỹ thuật dạy học trực tuyến theo quy định; ngoài ra đơn vị còn thực hiện các chi phí khác để phục vụ hoạt động của bộ phận quản lý và các chi phí về phòng chống dịch bệnh.Theo quy định chi phí tính theo định mức phân bổ ngân sách chi thường xuyên trường công lập đại trà</w:t>
      </w:r>
      <w:r w:rsidRPr="00FF0AC3">
        <w:rPr>
          <w:highlight w:val="white"/>
          <w:vertAlign w:val="superscript"/>
          <w:lang w:val="nl-NL"/>
        </w:rPr>
        <w:footnoteReference w:id="2"/>
      </w:r>
      <w:r w:rsidRPr="00FF0AC3">
        <w:rPr>
          <w:highlight w:val="white"/>
          <w:lang w:val="es-ES"/>
        </w:rPr>
        <w:t xml:space="preserve">, theo đó chi khác tối thiểu đối với từng cấp học (quy đổi theo tỷ lệ %) chiếm 24% đến 25 % định mức phân bổ (như vậy chi phí tiền lương, phụ cấp lương và các khoản đóng góp theo lương tối đa chiếm 75% đến 76% định mức phân bổ). </w:t>
      </w:r>
    </w:p>
    <w:p w14:paraId="14634CEB" w14:textId="77777777" w:rsidR="004460A9" w:rsidRPr="00FF0AC3" w:rsidRDefault="004460A9" w:rsidP="000413E3">
      <w:pPr>
        <w:spacing w:before="120" w:after="120"/>
        <w:ind w:firstLine="720"/>
        <w:jc w:val="both"/>
        <w:outlineLvl w:val="0"/>
        <w:rPr>
          <w:iCs/>
          <w:lang w:val="vi-VN"/>
        </w:rPr>
      </w:pPr>
      <w:r w:rsidRPr="00FF0AC3">
        <w:rPr>
          <w:highlight w:val="white"/>
          <w:lang w:val="es-ES"/>
        </w:rPr>
        <w:t xml:space="preserve">Việc quy định mức học phí theo hình thức học trực tuyến </w:t>
      </w:r>
      <w:r w:rsidRPr="00FF0AC3">
        <w:rPr>
          <w:lang w:val="es-ES"/>
        </w:rPr>
        <w:t>góp phần tháo gỡ khó khăn cho các cơ sở giáo dục trong giai đoạn phòng chống dịch Covid-19, đồng thời làm cơ sở thống nhất mức thu cho các cơ sở giáo dục công lập, tránh để tình trạng mạnh ai người ấy làm, mỗi nơi thu một kiểu.</w:t>
      </w:r>
    </w:p>
    <w:p w14:paraId="408A98FB" w14:textId="77777777" w:rsidR="00CF002F" w:rsidRPr="00CF002F" w:rsidRDefault="00CF002F" w:rsidP="00C729B5">
      <w:pPr>
        <w:pStyle w:val="05NidungVB"/>
        <w:spacing w:before="120" w:line="240" w:lineRule="auto"/>
        <w:ind w:firstLine="720"/>
        <w:rPr>
          <w:iCs/>
          <w:lang w:val="vi-VN"/>
        </w:rPr>
      </w:pPr>
      <w:r w:rsidRPr="00CF002F">
        <w:rPr>
          <w:iCs/>
          <w:lang w:val="vi-VN"/>
        </w:rPr>
        <w:t xml:space="preserve">- Việc xây dựng mức học phí mới đã góp phần thực hiện tốt hơn công bằng trong giáo dục, đảm bảo sự bình đẳng trong việc đóng góp của các gia đình và người học và điều chỉnh cơ cấu chi ngân sách, tạo sự bình đẳng về cơ hội học tập trong xã hội. Huy động sức dân cùng với nhà nước chăm lo sự nghiệp giáo dục và đào tạo và thực hiện chế độ miễn giảm, hỗ trợ chi phí học tập cho học sinh, sinh viên. </w:t>
      </w:r>
    </w:p>
    <w:p w14:paraId="201BA536" w14:textId="77777777" w:rsidR="001E3C5F" w:rsidRPr="008E197F" w:rsidRDefault="001E3C5F" w:rsidP="00C729B5">
      <w:pPr>
        <w:pStyle w:val="05NidungVB"/>
        <w:spacing w:before="120" w:line="240" w:lineRule="auto"/>
        <w:ind w:firstLine="720"/>
        <w:rPr>
          <w:b/>
          <w:iCs/>
          <w:color w:val="000000"/>
          <w:lang w:val="vi-VN"/>
        </w:rPr>
      </w:pPr>
      <w:r w:rsidRPr="008E197F">
        <w:rPr>
          <w:b/>
          <w:iCs/>
          <w:color w:val="000000"/>
          <w:lang w:val="vi-VN"/>
        </w:rPr>
        <w:t>4.</w:t>
      </w:r>
      <w:r w:rsidRPr="00C3555B">
        <w:rPr>
          <w:b/>
          <w:iCs/>
          <w:color w:val="000000"/>
          <w:lang w:val="vi-VN"/>
        </w:rPr>
        <w:t>2</w:t>
      </w:r>
      <w:r w:rsidRPr="008E197F">
        <w:rPr>
          <w:b/>
          <w:iCs/>
          <w:color w:val="000000"/>
          <w:lang w:val="vi-VN"/>
        </w:rPr>
        <w:t xml:space="preserve"> Vấn đề cơ sở pháp lý </w:t>
      </w:r>
    </w:p>
    <w:p w14:paraId="5F9DBBCB" w14:textId="77777777" w:rsidR="007D3CE6" w:rsidRPr="00754703" w:rsidRDefault="007D3CE6" w:rsidP="00C729B5">
      <w:pPr>
        <w:pStyle w:val="05NidungVB"/>
        <w:spacing w:before="120" w:line="240" w:lineRule="auto"/>
        <w:ind w:firstLine="720"/>
        <w:rPr>
          <w:iCs/>
          <w:lang w:val="vi-VN"/>
        </w:rPr>
      </w:pPr>
      <w:r w:rsidRPr="00754703">
        <w:rPr>
          <w:iCs/>
          <w:lang w:val="vi-VN"/>
        </w:rPr>
        <w:t xml:space="preserve">- Luật Tổ chức chính quyền địa phương ngày 19/6/2015; Luật sửa đổi, bổ sung </w:t>
      </w:r>
      <w:r w:rsidRPr="00754703">
        <w:rPr>
          <w:iCs/>
          <w:lang w:val="vi-VN"/>
        </w:rPr>
        <w:lastRenderedPageBreak/>
        <w:t>một số điều của Luật Tổ chức Chính phủ và Luật Tổ chức chính quyền địa phương ngày 22/11/2019;</w:t>
      </w:r>
    </w:p>
    <w:p w14:paraId="413A36E8" w14:textId="77777777" w:rsidR="007D3CE6" w:rsidRPr="00754703" w:rsidRDefault="007D3CE6" w:rsidP="00C729B5">
      <w:pPr>
        <w:pStyle w:val="05NidungVB"/>
        <w:spacing w:before="120" w:line="240" w:lineRule="auto"/>
        <w:ind w:firstLine="720"/>
        <w:rPr>
          <w:iCs/>
          <w:lang w:val="vi-VN"/>
        </w:rPr>
      </w:pPr>
      <w:r w:rsidRPr="00754703">
        <w:rPr>
          <w:iCs/>
          <w:lang w:val="vi-VN"/>
        </w:rPr>
        <w:t>- Luật Ban hành văn bản quy phạm pháp luật ngày 22/6/2015; Luật sửa đổi, bổ sung một số điều của Luật Ban hành văn quy phạm pháp luật ngày 18/6/2020;</w:t>
      </w:r>
    </w:p>
    <w:p w14:paraId="71594C27" w14:textId="77777777" w:rsidR="007D3CE6" w:rsidRPr="00754703" w:rsidRDefault="007D3CE6" w:rsidP="00C729B5">
      <w:pPr>
        <w:pStyle w:val="05NidungVB"/>
        <w:spacing w:before="120" w:line="240" w:lineRule="auto"/>
        <w:ind w:firstLine="720"/>
        <w:rPr>
          <w:iCs/>
          <w:lang w:val="vi-VN"/>
        </w:rPr>
      </w:pPr>
      <w:r w:rsidRPr="00754703">
        <w:rPr>
          <w:iCs/>
          <w:lang w:val="vi-VN"/>
        </w:rPr>
        <w:t>- Luật</w:t>
      </w:r>
      <w:r w:rsidR="00C53096">
        <w:rPr>
          <w:iCs/>
          <w:lang w:val="vi-VN"/>
        </w:rPr>
        <w:t xml:space="preserve"> Giáo dục ngày 14</w:t>
      </w:r>
      <w:r w:rsidR="00C53096" w:rsidRPr="0039090E">
        <w:rPr>
          <w:iCs/>
          <w:lang w:val="vi-VN"/>
        </w:rPr>
        <w:t xml:space="preserve"> tháng </w:t>
      </w:r>
      <w:r w:rsidRPr="00754703">
        <w:rPr>
          <w:iCs/>
          <w:lang w:val="vi-VN"/>
        </w:rPr>
        <w:t>6</w:t>
      </w:r>
      <w:r w:rsidR="00C53096" w:rsidRPr="0039090E">
        <w:rPr>
          <w:iCs/>
          <w:lang w:val="vi-VN"/>
        </w:rPr>
        <w:t xml:space="preserve"> năm </w:t>
      </w:r>
      <w:r w:rsidRPr="00754703">
        <w:rPr>
          <w:iCs/>
          <w:lang w:val="vi-VN"/>
        </w:rPr>
        <w:t>2019;</w:t>
      </w:r>
    </w:p>
    <w:p w14:paraId="09CB6743" w14:textId="77777777" w:rsidR="007D3CE6" w:rsidRPr="00754703" w:rsidRDefault="007D3CE6" w:rsidP="00C729B5">
      <w:pPr>
        <w:pStyle w:val="05NidungVB"/>
        <w:spacing w:before="120" w:line="240" w:lineRule="auto"/>
        <w:ind w:firstLine="720"/>
        <w:rPr>
          <w:iCs/>
          <w:lang w:val="vi-VN"/>
        </w:rPr>
      </w:pPr>
      <w:r w:rsidRPr="00754703">
        <w:rPr>
          <w:iCs/>
          <w:lang w:val="vi-VN"/>
        </w:rPr>
        <w:t xml:space="preserve">- Nghị định số 48/2017/NĐ-CP ngày 24 tháng 4 năm 2017 của Chính phủ quy định một số cơ chế, chính sách tài chính – ngân sách đặc thù đối với Thành phố Hồ Chí Minh; </w:t>
      </w:r>
    </w:p>
    <w:p w14:paraId="5B4528D0" w14:textId="77777777" w:rsidR="007D3CE6" w:rsidRPr="00754703" w:rsidRDefault="007D3CE6" w:rsidP="00C729B5">
      <w:pPr>
        <w:pStyle w:val="05NidungVB"/>
        <w:spacing w:before="120" w:line="240" w:lineRule="auto"/>
        <w:ind w:firstLine="720"/>
        <w:rPr>
          <w:iCs/>
          <w:lang w:val="vi-VN"/>
        </w:rPr>
      </w:pPr>
      <w:r w:rsidRPr="00754703">
        <w:rPr>
          <w:iCs/>
          <w:lang w:val="vi-VN"/>
        </w:rPr>
        <w:t>- Nghị định số 60/2021/NĐ-CP ngày 21/6/2021 của Chính phủ quy định cơ chế tự chủ tài chính của đơn vị sự nghiệp công lập (Nghị định số 60/2021/NĐ-CP);</w:t>
      </w:r>
    </w:p>
    <w:p w14:paraId="073BAB9A" w14:textId="77777777" w:rsidR="007D3CE6" w:rsidRPr="00816F56" w:rsidRDefault="007D3CE6" w:rsidP="00C729B5">
      <w:pPr>
        <w:pStyle w:val="05NidungVB"/>
        <w:spacing w:before="120" w:line="240" w:lineRule="auto"/>
        <w:ind w:firstLine="720"/>
        <w:rPr>
          <w:iCs/>
          <w:color w:val="FF0000"/>
          <w:lang w:val="en-US"/>
        </w:rPr>
      </w:pPr>
      <w:r w:rsidRPr="00754703">
        <w:rPr>
          <w:iCs/>
          <w:lang w:val="vi-VN"/>
        </w:rPr>
        <w:t>-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81/2021/NĐ-CP) có hiệu lực kể từ ngày 15/10/2021</w:t>
      </w:r>
      <w:r w:rsidR="00816F56">
        <w:rPr>
          <w:iCs/>
          <w:lang w:val="en-US"/>
        </w:rPr>
        <w:t>.</w:t>
      </w:r>
    </w:p>
    <w:p w14:paraId="1732E5F9" w14:textId="77777777" w:rsidR="001E3C5F" w:rsidRPr="007D3CE6" w:rsidRDefault="001E3C5F" w:rsidP="00C729B5">
      <w:pPr>
        <w:pStyle w:val="05NidungVB"/>
        <w:spacing w:before="120" w:line="240" w:lineRule="auto"/>
        <w:ind w:firstLine="720"/>
        <w:rPr>
          <w:iCs/>
          <w:lang w:val="vi-VN"/>
        </w:rPr>
      </w:pPr>
      <w:r w:rsidRPr="007D3CE6">
        <w:rPr>
          <w:iCs/>
          <w:lang w:val="vi-VN"/>
        </w:rPr>
        <w:t>Hiện nay, qua xem xét các quy định pháp luật có liên quan cho thấy đã đủ căn cứ pháp lý để ban hành chính sách.</w:t>
      </w:r>
    </w:p>
    <w:p w14:paraId="16AD4FAF" w14:textId="77777777" w:rsidR="005D23D0" w:rsidRPr="00754703" w:rsidRDefault="005D23D0" w:rsidP="00C729B5">
      <w:pPr>
        <w:pStyle w:val="NormalWeb"/>
        <w:shd w:val="clear" w:color="auto" w:fill="FFFFFF"/>
        <w:spacing w:before="120" w:beforeAutospacing="0" w:after="120" w:afterAutospacing="0"/>
        <w:ind w:firstLine="567"/>
        <w:rPr>
          <w:b/>
          <w:bCs/>
          <w:color w:val="000000"/>
          <w:sz w:val="28"/>
          <w:szCs w:val="28"/>
          <w:lang w:val="vi-VN"/>
        </w:rPr>
      </w:pPr>
      <w:r w:rsidRPr="00754703">
        <w:rPr>
          <w:b/>
          <w:bCs/>
          <w:color w:val="000000"/>
          <w:sz w:val="28"/>
          <w:szCs w:val="28"/>
          <w:lang w:val="vi-VN"/>
        </w:rPr>
        <w:t>III. LẤY Ý KIẾN</w:t>
      </w:r>
    </w:p>
    <w:p w14:paraId="11D6B854" w14:textId="77777777" w:rsidR="005D23D0" w:rsidRPr="00754703" w:rsidRDefault="005D23D0" w:rsidP="00C729B5">
      <w:pPr>
        <w:pStyle w:val="05NidungVB"/>
        <w:spacing w:before="120" w:line="240" w:lineRule="auto"/>
        <w:ind w:firstLine="720"/>
        <w:rPr>
          <w:iCs/>
          <w:lang w:val="vi-VN"/>
        </w:rPr>
      </w:pPr>
      <w:r w:rsidRPr="00754703">
        <w:rPr>
          <w:iCs/>
          <w:lang w:val="vi-VN"/>
        </w:rPr>
        <w:t>1.</w:t>
      </w:r>
      <w:r w:rsidR="009D2066" w:rsidRPr="009D2066">
        <w:rPr>
          <w:iCs/>
          <w:lang w:val="vi-VN"/>
        </w:rPr>
        <w:t xml:space="preserve"> Tháng </w:t>
      </w:r>
      <w:r w:rsidR="00FF0AC3">
        <w:rPr>
          <w:iCs/>
          <w:lang w:val="en-US"/>
        </w:rPr>
        <w:t>5</w:t>
      </w:r>
      <w:r w:rsidR="009D2066" w:rsidRPr="009D2066">
        <w:rPr>
          <w:iCs/>
          <w:lang w:val="vi-VN"/>
        </w:rPr>
        <w:t xml:space="preserve"> n</w:t>
      </w:r>
      <w:r w:rsidR="00BD744C">
        <w:rPr>
          <w:iCs/>
          <w:lang w:val="vi-VN"/>
        </w:rPr>
        <w:t>ăm 202</w:t>
      </w:r>
      <w:r w:rsidR="00FF0AC3">
        <w:rPr>
          <w:iCs/>
          <w:lang w:val="en-US"/>
        </w:rPr>
        <w:t>2</w:t>
      </w:r>
      <w:r w:rsidRPr="00754703">
        <w:rPr>
          <w:iCs/>
          <w:lang w:val="vi-VN"/>
        </w:rPr>
        <w:t xml:space="preserve">, tiến hành điều tra, thu thập số liệu, tổng hợp đánh giá tình hình thực tiễn; kết quả thực hiện các cơ chế, chính sách về </w:t>
      </w:r>
      <w:r w:rsidRPr="005B2693">
        <w:rPr>
          <w:iCs/>
          <w:lang w:val="vi-VN"/>
        </w:rPr>
        <w:t>cơ chế thu, quản lý học phí đối với cơ sở giáo dục thuộc hệ thống giáo dục quốc dân và chính sách miễn, giảm học phí, hỗ trợ chi phí học tập; giá dịch vụ trong lĩnh vực giáo dục, đào tạo trên địa bàn Thành phố Hồ Chí Minh</w:t>
      </w:r>
      <w:r w:rsidRPr="00754703">
        <w:rPr>
          <w:iCs/>
          <w:lang w:val="vi-VN"/>
        </w:rPr>
        <w:t xml:space="preserve">. Tiếp thu ý kiến các sở, ngành, địa phương trình, chỉnh lý dự thảo cơ chế, chính sách, báo cáo Ủy ban nhân dân thành phố. </w:t>
      </w:r>
    </w:p>
    <w:p w14:paraId="756A3A7D" w14:textId="77777777" w:rsidR="005D23D0" w:rsidRPr="00754703" w:rsidRDefault="00A778DA" w:rsidP="00EF768D">
      <w:pPr>
        <w:pStyle w:val="05NidungVB"/>
        <w:spacing w:before="120"/>
        <w:ind w:firstLine="720"/>
        <w:rPr>
          <w:iCs/>
          <w:lang w:val="vi-VN"/>
        </w:rPr>
      </w:pPr>
      <w:r w:rsidRPr="00754703">
        <w:rPr>
          <w:iCs/>
          <w:lang w:val="vi-VN"/>
        </w:rPr>
        <w:t xml:space="preserve">2. </w:t>
      </w:r>
      <w:r w:rsidR="009D2066" w:rsidRPr="009D2066">
        <w:rPr>
          <w:iCs/>
          <w:lang w:val="vi-VN"/>
        </w:rPr>
        <w:t xml:space="preserve">Tháng </w:t>
      </w:r>
      <w:r w:rsidR="00FF0AC3">
        <w:rPr>
          <w:iCs/>
          <w:lang w:val="en-US"/>
        </w:rPr>
        <w:t xml:space="preserve"> </w:t>
      </w:r>
      <w:r w:rsidR="009D2066" w:rsidRPr="009D2066">
        <w:rPr>
          <w:iCs/>
          <w:lang w:val="vi-VN"/>
        </w:rPr>
        <w:t xml:space="preserve"> n</w:t>
      </w:r>
      <w:r w:rsidRPr="00754703">
        <w:rPr>
          <w:iCs/>
          <w:lang w:val="vi-VN"/>
        </w:rPr>
        <w:t>ăm 202</w:t>
      </w:r>
      <w:r w:rsidR="00FF0AC3">
        <w:rPr>
          <w:iCs/>
          <w:lang w:val="en-US"/>
        </w:rPr>
        <w:t>2</w:t>
      </w:r>
      <w:r w:rsidR="005D23D0" w:rsidRPr="00754703">
        <w:rPr>
          <w:iCs/>
          <w:lang w:val="vi-VN"/>
        </w:rPr>
        <w:t xml:space="preserve">, xây dựng, hoàn thiện dự thảo </w:t>
      </w:r>
      <w:r w:rsidRPr="00754703">
        <w:rPr>
          <w:iCs/>
          <w:lang w:val="vi-VN"/>
        </w:rPr>
        <w:t xml:space="preserve">tờ trình về ban hành Nghị quyết </w:t>
      </w:r>
      <w:r w:rsidR="009D2066" w:rsidRPr="009D2066">
        <w:rPr>
          <w:iCs/>
          <w:lang w:val="vi-VN"/>
        </w:rPr>
        <w:t xml:space="preserve">về </w:t>
      </w:r>
      <w:r w:rsidR="00285732" w:rsidRPr="00285732">
        <w:rPr>
          <w:iCs/>
          <w:lang w:val="vi-VN"/>
        </w:rPr>
        <w:t xml:space="preserve">quy định </w:t>
      </w:r>
      <w:r w:rsidR="00EF768D" w:rsidRPr="00EF768D">
        <w:rPr>
          <w:iCs/>
          <w:lang w:val="vi-VN"/>
        </w:rPr>
        <w:t>mức học phí đối với giáo dục mầm non, giáo dục phổ thông công lập  từ năm học 2022-2023 và các năm học tiếp theo trên địa bàn Thành phố Hồ Chí Minh theo Nghị định số 81/2021/NĐ-CP ngày 27 tháng 08 năm 2021 của Chính phủ</w:t>
      </w:r>
      <w:r w:rsidR="00285732" w:rsidRPr="00285732">
        <w:rPr>
          <w:iCs/>
          <w:lang w:val="vi-VN"/>
        </w:rPr>
        <w:t xml:space="preserve"> </w:t>
      </w:r>
      <w:r w:rsidRPr="00754703">
        <w:rPr>
          <w:iCs/>
          <w:lang w:val="vi-VN"/>
        </w:rPr>
        <w:t>trình Hội đồng nhân dân Thành phố</w:t>
      </w:r>
      <w:r w:rsidR="005D23D0" w:rsidRPr="00754703">
        <w:rPr>
          <w:iCs/>
          <w:lang w:val="vi-VN"/>
        </w:rPr>
        <w:t>.</w:t>
      </w:r>
    </w:p>
    <w:p w14:paraId="0752D4A9" w14:textId="77777777" w:rsidR="00A778DA" w:rsidRPr="00754703" w:rsidRDefault="00A778DA" w:rsidP="00C729B5">
      <w:pPr>
        <w:pStyle w:val="05NidungVB"/>
        <w:spacing w:before="120" w:line="240" w:lineRule="auto"/>
        <w:ind w:firstLine="720"/>
        <w:rPr>
          <w:b/>
          <w:iCs/>
          <w:lang w:val="vi-VN"/>
        </w:rPr>
      </w:pPr>
      <w:r w:rsidRPr="00754703">
        <w:rPr>
          <w:b/>
          <w:iCs/>
          <w:lang w:val="vi-VN"/>
        </w:rPr>
        <w:t>IV. GIÁM SÁT VÀ ĐÁNH GIÁ</w:t>
      </w:r>
    </w:p>
    <w:p w14:paraId="0FB505A1" w14:textId="77777777" w:rsidR="00A778DA" w:rsidRPr="00754703" w:rsidRDefault="00A778DA" w:rsidP="00C729B5">
      <w:pPr>
        <w:pStyle w:val="05NidungVB"/>
        <w:spacing w:before="120" w:line="240" w:lineRule="auto"/>
        <w:ind w:firstLine="720"/>
        <w:rPr>
          <w:iCs/>
          <w:lang w:val="vi-VN"/>
        </w:rPr>
      </w:pPr>
      <w:r w:rsidRPr="00754703">
        <w:rPr>
          <w:iCs/>
          <w:lang w:val="vi-VN"/>
        </w:rPr>
        <w:t>1. Sở Giáo dục và Đào tạo chủ trì, phối hợp với các sở, ngành, địa phương liên quan tổ chức thi hành chính sách; theo dõi việc</w:t>
      </w:r>
      <w:r w:rsidR="0072639E" w:rsidRPr="00754703">
        <w:rPr>
          <w:iCs/>
          <w:lang w:val="vi-VN"/>
        </w:rPr>
        <w:t xml:space="preserve"> hướng dẫn, tổ chức thi hành nghị định</w:t>
      </w:r>
      <w:r w:rsidRPr="00754703">
        <w:rPr>
          <w:iCs/>
          <w:lang w:val="vi-VN"/>
        </w:rPr>
        <w:t xml:space="preserve">. Hàng năm, tổng hợp, báo cáo Ủy ban nhân dân thành phố tình hình và kết quả thực hiện việc hỗ trợ theo chính sách, tham mưu Ủy ban nhân dân thành phố báo cáo Thường trực Hội đồng nhân dân thành phố vào kỳ họp cuối năm. </w:t>
      </w:r>
    </w:p>
    <w:p w14:paraId="2EA5A7BD" w14:textId="77777777" w:rsidR="00A778DA" w:rsidRPr="00754703" w:rsidRDefault="00A778DA" w:rsidP="00C729B5">
      <w:pPr>
        <w:pStyle w:val="05NidungVB"/>
        <w:spacing w:before="120" w:line="240" w:lineRule="auto"/>
        <w:ind w:firstLine="720"/>
        <w:rPr>
          <w:iCs/>
          <w:lang w:val="vi-VN"/>
        </w:rPr>
      </w:pPr>
      <w:r w:rsidRPr="00754703">
        <w:rPr>
          <w:iCs/>
          <w:lang w:val="vi-VN"/>
        </w:rPr>
        <w:t xml:space="preserve">2. Thường trực Hội đồng nhân dân, các Ban của Hội đồng nhân dân, đại biểu Hội đồng nhân dân thành phố, Ủy ban Mặt trận Tổ quốc Việt Nam </w:t>
      </w:r>
      <w:r w:rsidR="000977EF" w:rsidRPr="0039090E">
        <w:rPr>
          <w:iCs/>
          <w:lang w:val="vi-VN"/>
        </w:rPr>
        <w:t>T</w:t>
      </w:r>
      <w:r w:rsidRPr="00754703">
        <w:rPr>
          <w:iCs/>
          <w:lang w:val="vi-VN"/>
        </w:rPr>
        <w:t>hành phố</w:t>
      </w:r>
      <w:r w:rsidR="000977EF" w:rsidRPr="0039090E">
        <w:rPr>
          <w:iCs/>
          <w:lang w:val="vi-VN"/>
        </w:rPr>
        <w:t xml:space="preserve"> Hồ Chí Minh</w:t>
      </w:r>
      <w:r w:rsidRPr="00754703">
        <w:rPr>
          <w:iCs/>
          <w:lang w:val="vi-VN"/>
        </w:rPr>
        <w:t xml:space="preserve">, các tổ chức chính trị - xã hội giám sát, đánh giá việc thi hành </w:t>
      </w:r>
      <w:r w:rsidR="0072639E" w:rsidRPr="00754703">
        <w:rPr>
          <w:iCs/>
          <w:lang w:val="vi-VN"/>
        </w:rPr>
        <w:t>nghị định</w:t>
      </w:r>
      <w:r w:rsidRPr="00754703">
        <w:rPr>
          <w:iCs/>
          <w:lang w:val="vi-VN"/>
        </w:rPr>
        <w:t>.</w:t>
      </w:r>
    </w:p>
    <w:p w14:paraId="2420C49F" w14:textId="77777777" w:rsidR="00F67D79" w:rsidRPr="005B2693" w:rsidRDefault="001E3C5F" w:rsidP="00C729B5">
      <w:pPr>
        <w:spacing w:before="120" w:after="120"/>
        <w:ind w:firstLine="567"/>
        <w:jc w:val="both"/>
        <w:rPr>
          <w:iCs/>
          <w:spacing w:val="4"/>
          <w:lang w:val="nb-NO"/>
        </w:rPr>
      </w:pPr>
      <w:r w:rsidRPr="005B2693">
        <w:rPr>
          <w:lang w:val="vi-VN"/>
        </w:rPr>
        <w:lastRenderedPageBreak/>
        <w:t xml:space="preserve">Trên đây là </w:t>
      </w:r>
      <w:r w:rsidRPr="005B2693">
        <w:rPr>
          <w:iCs/>
          <w:shd w:val="clear" w:color="auto" w:fill="FFFFFF"/>
          <w:lang w:val="vi-VN"/>
        </w:rPr>
        <w:t xml:space="preserve">đánh giá tác động của </w:t>
      </w:r>
      <w:r w:rsidRPr="005B2693">
        <w:rPr>
          <w:bCs/>
          <w:lang w:val="vi-VN"/>
        </w:rPr>
        <w:t xml:space="preserve">Sở Giáo dục và Đào tạo đối với </w:t>
      </w:r>
      <w:r w:rsidRPr="005B2693">
        <w:rPr>
          <w:iCs/>
          <w:shd w:val="clear" w:color="auto" w:fill="FFFFFF"/>
          <w:lang w:val="vi-VN"/>
        </w:rPr>
        <w:t xml:space="preserve">các vấn đề liên quan trong đề xuất trình </w:t>
      </w:r>
      <w:r w:rsidR="00285732" w:rsidRPr="00285732">
        <w:rPr>
          <w:iCs/>
          <w:shd w:val="clear" w:color="auto" w:fill="FFFFFF"/>
          <w:lang w:val="vi-VN"/>
        </w:rPr>
        <w:t>quy định mức học phí đối với giáo dục mầm non, giáo dục phổ thông công lập  năm học 2021-2022, năm học 2022-2023 trên địa bàn Thành phố Hồ Chí Minh</w:t>
      </w:r>
      <w:r w:rsidR="005B2693" w:rsidRPr="005B2693">
        <w:rPr>
          <w:iCs/>
          <w:shd w:val="clear" w:color="auto" w:fill="FFFFFF"/>
          <w:lang w:val="vi-VN"/>
        </w:rPr>
        <w:t xml:space="preserve"> theo Nghị định số 81/2021/NĐ-CP ngày 27 tháng 08 năm 2021 của Chính phủ</w:t>
      </w:r>
      <w:r w:rsidRPr="005B2693">
        <w:rPr>
          <w:iCs/>
          <w:shd w:val="clear" w:color="auto" w:fill="FFFFFF"/>
          <w:lang w:val="vi-VN"/>
        </w:rPr>
        <w:t xml:space="preserve"> </w:t>
      </w:r>
      <w:r w:rsidRPr="005B2693">
        <w:rPr>
          <w:bCs/>
          <w:lang w:val="vi-VN"/>
        </w:rPr>
        <w:t>./.</w:t>
      </w:r>
    </w:p>
    <w:tbl>
      <w:tblPr>
        <w:tblpPr w:leftFromText="180" w:rightFromText="180" w:vertAnchor="text" w:horzAnchor="margin" w:tblpY="243"/>
        <w:tblW w:w="9520" w:type="dxa"/>
        <w:tblLook w:val="0000" w:firstRow="0" w:lastRow="0" w:firstColumn="0" w:lastColumn="0" w:noHBand="0" w:noVBand="0"/>
      </w:tblPr>
      <w:tblGrid>
        <w:gridCol w:w="4730"/>
        <w:gridCol w:w="4790"/>
      </w:tblGrid>
      <w:tr w:rsidR="000A4CA6" w:rsidRPr="00962ED9" w14:paraId="69F5CDF6" w14:textId="77777777" w:rsidTr="000A4CA6">
        <w:trPr>
          <w:trHeight w:val="2052"/>
        </w:trPr>
        <w:tc>
          <w:tcPr>
            <w:tcW w:w="4730" w:type="dxa"/>
          </w:tcPr>
          <w:p w14:paraId="1823BBC4" w14:textId="77777777" w:rsidR="000A4CA6" w:rsidRPr="008F4EC0" w:rsidRDefault="000A4CA6" w:rsidP="000A4CA6">
            <w:pPr>
              <w:jc w:val="both"/>
              <w:rPr>
                <w:b/>
                <w:i/>
                <w:sz w:val="26"/>
                <w:lang w:val="nb-NO"/>
              </w:rPr>
            </w:pPr>
            <w:r w:rsidRPr="008F4EC0">
              <w:rPr>
                <w:b/>
                <w:i/>
                <w:sz w:val="26"/>
                <w:lang w:val="nb-NO"/>
              </w:rPr>
              <w:t>Nơi nhận :</w:t>
            </w:r>
          </w:p>
          <w:p w14:paraId="2DE703EE" w14:textId="77777777" w:rsidR="00F67D79" w:rsidRPr="008F4EC0" w:rsidRDefault="000A4CA6" w:rsidP="000A4CA6">
            <w:pPr>
              <w:jc w:val="both"/>
              <w:rPr>
                <w:lang w:val="nb-NO"/>
              </w:rPr>
            </w:pPr>
            <w:r w:rsidRPr="008F4EC0">
              <w:rPr>
                <w:sz w:val="26"/>
                <w:lang w:val="nb-NO"/>
              </w:rPr>
              <w:t xml:space="preserve">- </w:t>
            </w:r>
            <w:r w:rsidRPr="008F4EC0">
              <w:rPr>
                <w:sz w:val="22"/>
                <w:szCs w:val="22"/>
                <w:lang w:val="nb-NO"/>
              </w:rPr>
              <w:t>Như trên;</w:t>
            </w:r>
          </w:p>
          <w:p w14:paraId="128E7E02" w14:textId="77777777" w:rsidR="000A4CA6" w:rsidRDefault="000A4CA6" w:rsidP="000A4CA6">
            <w:pPr>
              <w:jc w:val="both"/>
              <w:rPr>
                <w:sz w:val="22"/>
                <w:szCs w:val="22"/>
                <w:lang w:val="nb-NO"/>
              </w:rPr>
            </w:pPr>
            <w:r w:rsidRPr="008F4EC0">
              <w:rPr>
                <w:sz w:val="22"/>
                <w:szCs w:val="22"/>
                <w:lang w:val="nb-NO"/>
              </w:rPr>
              <w:t xml:space="preserve">- </w:t>
            </w:r>
            <w:r w:rsidR="00805025" w:rsidRPr="008F4EC0">
              <w:rPr>
                <w:sz w:val="22"/>
                <w:szCs w:val="22"/>
                <w:lang w:val="nb-NO"/>
              </w:rPr>
              <w:t xml:space="preserve">Văn phòng </w:t>
            </w:r>
            <w:r w:rsidRPr="008F4EC0">
              <w:rPr>
                <w:sz w:val="22"/>
                <w:szCs w:val="22"/>
                <w:lang w:val="nb-NO"/>
              </w:rPr>
              <w:t xml:space="preserve">UBNDTP </w:t>
            </w:r>
            <w:r w:rsidR="00F76FA7" w:rsidRPr="008F4EC0">
              <w:rPr>
                <w:sz w:val="22"/>
                <w:szCs w:val="22"/>
                <w:lang w:val="nb-NO"/>
              </w:rPr>
              <w:t>“</w:t>
            </w:r>
            <w:r w:rsidRPr="008F4EC0">
              <w:rPr>
                <w:sz w:val="22"/>
                <w:szCs w:val="22"/>
                <w:lang w:val="nb-NO"/>
              </w:rPr>
              <w:t xml:space="preserve">để </w:t>
            </w:r>
            <w:r w:rsidR="00F76FA7" w:rsidRPr="008F4EC0">
              <w:rPr>
                <w:sz w:val="22"/>
                <w:szCs w:val="22"/>
                <w:lang w:val="nb-NO"/>
              </w:rPr>
              <w:t>báo cáo”</w:t>
            </w:r>
            <w:r w:rsidRPr="008F4EC0">
              <w:rPr>
                <w:sz w:val="22"/>
                <w:szCs w:val="22"/>
                <w:lang w:val="nb-NO"/>
              </w:rPr>
              <w:t>;</w:t>
            </w:r>
          </w:p>
          <w:p w14:paraId="7F84BD35" w14:textId="77777777" w:rsidR="001E3C5F" w:rsidRPr="008F4EC0" w:rsidRDefault="004F298A" w:rsidP="000A4CA6">
            <w:pPr>
              <w:jc w:val="both"/>
              <w:rPr>
                <w:sz w:val="22"/>
                <w:szCs w:val="22"/>
                <w:lang w:val="nb-NO"/>
              </w:rPr>
            </w:pPr>
            <w:r>
              <w:rPr>
                <w:sz w:val="22"/>
                <w:szCs w:val="22"/>
                <w:lang w:val="nb-NO"/>
              </w:rPr>
              <w:t xml:space="preserve">- </w:t>
            </w:r>
            <w:r w:rsidR="000F5A85">
              <w:rPr>
                <w:sz w:val="22"/>
                <w:szCs w:val="22"/>
                <w:lang w:val="nb-NO"/>
              </w:rPr>
              <w:t xml:space="preserve">Sở Tư pháp </w:t>
            </w:r>
            <w:r w:rsidR="000F5A85" w:rsidRPr="008F4EC0">
              <w:rPr>
                <w:sz w:val="22"/>
                <w:szCs w:val="22"/>
                <w:lang w:val="nb-NO"/>
              </w:rPr>
              <w:t>“</w:t>
            </w:r>
            <w:r w:rsidR="000F5A85">
              <w:rPr>
                <w:sz w:val="22"/>
                <w:szCs w:val="22"/>
                <w:lang w:val="nb-NO"/>
              </w:rPr>
              <w:t xml:space="preserve">để hỗ trợ” </w:t>
            </w:r>
            <w:r>
              <w:rPr>
                <w:sz w:val="22"/>
                <w:szCs w:val="22"/>
                <w:lang w:val="nb-NO"/>
              </w:rPr>
              <w:t xml:space="preserve">; </w:t>
            </w:r>
          </w:p>
          <w:p w14:paraId="225B9A15" w14:textId="77777777" w:rsidR="000A4CA6" w:rsidRPr="00962ED9" w:rsidRDefault="000A4CA6" w:rsidP="00692E6E">
            <w:pPr>
              <w:jc w:val="both"/>
              <w:rPr>
                <w:sz w:val="26"/>
              </w:rPr>
            </w:pPr>
            <w:r w:rsidRPr="00962ED9">
              <w:rPr>
                <w:sz w:val="22"/>
                <w:szCs w:val="22"/>
              </w:rPr>
              <w:t>- Lưu: VP,</w:t>
            </w:r>
            <w:r w:rsidR="000F5A85">
              <w:rPr>
                <w:sz w:val="22"/>
                <w:szCs w:val="22"/>
              </w:rPr>
              <w:t xml:space="preserve"> </w:t>
            </w:r>
            <w:r w:rsidR="0031766D">
              <w:rPr>
                <w:sz w:val="22"/>
                <w:szCs w:val="22"/>
              </w:rPr>
              <w:t>KHTC</w:t>
            </w:r>
            <w:r w:rsidRPr="00962ED9">
              <w:rPr>
                <w:sz w:val="22"/>
                <w:szCs w:val="22"/>
              </w:rPr>
              <w:t xml:space="preserve"> (</w:t>
            </w:r>
            <w:r w:rsidR="0031766D">
              <w:rPr>
                <w:sz w:val="22"/>
                <w:szCs w:val="22"/>
              </w:rPr>
              <w:t>H</w:t>
            </w:r>
            <w:r w:rsidRPr="00962ED9">
              <w:rPr>
                <w:sz w:val="22"/>
                <w:szCs w:val="22"/>
              </w:rPr>
              <w:t xml:space="preserve">).                                                                     </w:t>
            </w:r>
          </w:p>
        </w:tc>
        <w:tc>
          <w:tcPr>
            <w:tcW w:w="4790" w:type="dxa"/>
          </w:tcPr>
          <w:p w14:paraId="2F32ECF9" w14:textId="77777777" w:rsidR="000A4CA6" w:rsidRPr="00962ED9" w:rsidRDefault="000A4CA6" w:rsidP="000A4CA6">
            <w:pPr>
              <w:ind w:right="-43"/>
              <w:jc w:val="center"/>
              <w:rPr>
                <w:b/>
                <w:bCs/>
              </w:rPr>
            </w:pPr>
            <w:r w:rsidRPr="00962ED9">
              <w:rPr>
                <w:b/>
                <w:bCs/>
              </w:rPr>
              <w:t>GIÁM ĐỐC</w:t>
            </w:r>
          </w:p>
          <w:p w14:paraId="4FB9E206" w14:textId="77777777" w:rsidR="000A4CA6" w:rsidRPr="00962ED9" w:rsidRDefault="000A4CA6" w:rsidP="000A4CA6">
            <w:pPr>
              <w:ind w:right="-43"/>
              <w:jc w:val="center"/>
              <w:rPr>
                <w:b/>
                <w:bCs/>
              </w:rPr>
            </w:pPr>
          </w:p>
          <w:p w14:paraId="2920EAA8" w14:textId="77777777" w:rsidR="000A4CA6" w:rsidRDefault="000A4CA6" w:rsidP="000A4CA6">
            <w:pPr>
              <w:ind w:right="-43"/>
              <w:jc w:val="center"/>
              <w:rPr>
                <w:b/>
                <w:bCs/>
              </w:rPr>
            </w:pPr>
          </w:p>
          <w:p w14:paraId="6ED6E6C6" w14:textId="77777777" w:rsidR="000A4CA6" w:rsidRPr="00962ED9" w:rsidRDefault="000A4CA6" w:rsidP="000A4CA6">
            <w:pPr>
              <w:ind w:right="-43"/>
              <w:jc w:val="center"/>
              <w:rPr>
                <w:b/>
                <w:bCs/>
              </w:rPr>
            </w:pPr>
          </w:p>
          <w:p w14:paraId="45603F87" w14:textId="77777777" w:rsidR="00692E6E" w:rsidRDefault="00692E6E" w:rsidP="00692E6E">
            <w:pPr>
              <w:ind w:right="-43"/>
              <w:rPr>
                <w:b/>
                <w:bCs/>
              </w:rPr>
            </w:pPr>
          </w:p>
          <w:p w14:paraId="1871F2CA" w14:textId="77777777" w:rsidR="00692E6E" w:rsidRDefault="001E3C5F" w:rsidP="003A058A">
            <w:pPr>
              <w:ind w:right="-43" w:firstLine="1366"/>
              <w:rPr>
                <w:b/>
                <w:bCs/>
              </w:rPr>
            </w:pPr>
            <w:r>
              <w:rPr>
                <w:b/>
                <w:bCs/>
              </w:rPr>
              <w:t xml:space="preserve">Nguyễn Văn Hiếu </w:t>
            </w:r>
          </w:p>
          <w:p w14:paraId="667BF391" w14:textId="77777777" w:rsidR="00FF0AC3" w:rsidRDefault="00FF0AC3" w:rsidP="003A058A">
            <w:pPr>
              <w:ind w:right="-43" w:firstLine="1366"/>
              <w:rPr>
                <w:b/>
                <w:bCs/>
              </w:rPr>
            </w:pPr>
          </w:p>
          <w:p w14:paraId="3C3BE6C1" w14:textId="77777777" w:rsidR="00FF0AC3" w:rsidRDefault="00FF0AC3" w:rsidP="003A058A">
            <w:pPr>
              <w:ind w:right="-43" w:firstLine="1366"/>
              <w:rPr>
                <w:b/>
                <w:bCs/>
              </w:rPr>
            </w:pPr>
          </w:p>
          <w:p w14:paraId="61105539" w14:textId="77777777" w:rsidR="00FF0AC3" w:rsidRDefault="00FF0AC3" w:rsidP="003A058A">
            <w:pPr>
              <w:ind w:right="-43" w:firstLine="1366"/>
              <w:rPr>
                <w:b/>
                <w:bCs/>
              </w:rPr>
            </w:pPr>
          </w:p>
          <w:p w14:paraId="4AA2671D" w14:textId="77777777" w:rsidR="00FF0AC3" w:rsidRDefault="00FF0AC3" w:rsidP="003A058A">
            <w:pPr>
              <w:ind w:right="-43" w:firstLine="1366"/>
              <w:rPr>
                <w:b/>
                <w:bCs/>
              </w:rPr>
            </w:pPr>
          </w:p>
          <w:p w14:paraId="535AA398" w14:textId="77777777" w:rsidR="00FF0AC3" w:rsidRDefault="00FF0AC3" w:rsidP="003A058A">
            <w:pPr>
              <w:ind w:right="-43" w:firstLine="1366"/>
              <w:rPr>
                <w:b/>
                <w:bCs/>
              </w:rPr>
            </w:pPr>
          </w:p>
          <w:p w14:paraId="5742D2D0" w14:textId="77777777" w:rsidR="00FF0AC3" w:rsidRDefault="00FF0AC3" w:rsidP="003A058A">
            <w:pPr>
              <w:ind w:right="-43" w:firstLine="1366"/>
              <w:rPr>
                <w:b/>
                <w:bCs/>
              </w:rPr>
            </w:pPr>
          </w:p>
          <w:p w14:paraId="399E522D" w14:textId="77777777" w:rsidR="00FF0AC3" w:rsidRDefault="00FF0AC3" w:rsidP="003A058A">
            <w:pPr>
              <w:ind w:right="-43" w:firstLine="1366"/>
              <w:rPr>
                <w:b/>
                <w:bCs/>
              </w:rPr>
            </w:pPr>
          </w:p>
          <w:p w14:paraId="09C34F4F" w14:textId="77777777" w:rsidR="00FF0AC3" w:rsidRDefault="00FF0AC3" w:rsidP="003A058A">
            <w:pPr>
              <w:ind w:right="-43" w:firstLine="1366"/>
              <w:rPr>
                <w:b/>
                <w:bCs/>
              </w:rPr>
            </w:pPr>
          </w:p>
          <w:p w14:paraId="24C63DB4" w14:textId="77777777" w:rsidR="00FF0AC3" w:rsidRDefault="00FF0AC3" w:rsidP="003A058A">
            <w:pPr>
              <w:ind w:right="-43" w:firstLine="1366"/>
              <w:rPr>
                <w:b/>
                <w:bCs/>
              </w:rPr>
            </w:pPr>
          </w:p>
          <w:p w14:paraId="6439D81D" w14:textId="77777777" w:rsidR="00FF0AC3" w:rsidRDefault="00FF0AC3" w:rsidP="003A058A">
            <w:pPr>
              <w:ind w:right="-43" w:firstLine="1366"/>
              <w:rPr>
                <w:b/>
                <w:bCs/>
              </w:rPr>
            </w:pPr>
          </w:p>
          <w:p w14:paraId="1A24B371" w14:textId="77777777" w:rsidR="00FF0AC3" w:rsidRDefault="00FF0AC3" w:rsidP="003A058A">
            <w:pPr>
              <w:ind w:right="-43" w:firstLine="1366"/>
              <w:rPr>
                <w:b/>
                <w:bCs/>
              </w:rPr>
            </w:pPr>
          </w:p>
          <w:p w14:paraId="0D04C6E7" w14:textId="77777777" w:rsidR="00FF0AC3" w:rsidRDefault="00FF0AC3" w:rsidP="003A058A">
            <w:pPr>
              <w:ind w:right="-43" w:firstLine="1366"/>
              <w:rPr>
                <w:b/>
                <w:bCs/>
              </w:rPr>
            </w:pPr>
          </w:p>
          <w:p w14:paraId="0B4F3F06" w14:textId="77777777" w:rsidR="00FF0AC3" w:rsidRDefault="00FF0AC3" w:rsidP="003A058A">
            <w:pPr>
              <w:ind w:right="-43" w:firstLine="1366"/>
              <w:rPr>
                <w:b/>
                <w:bCs/>
              </w:rPr>
            </w:pPr>
          </w:p>
          <w:p w14:paraId="7A317802" w14:textId="77777777" w:rsidR="00FF0AC3" w:rsidRDefault="00FF0AC3" w:rsidP="003A058A">
            <w:pPr>
              <w:ind w:right="-43" w:firstLine="1366"/>
              <w:rPr>
                <w:b/>
                <w:bCs/>
              </w:rPr>
            </w:pPr>
          </w:p>
          <w:p w14:paraId="56D5D2B8" w14:textId="77777777" w:rsidR="00FF0AC3" w:rsidRDefault="00FF0AC3" w:rsidP="003A058A">
            <w:pPr>
              <w:ind w:right="-43" w:firstLine="1366"/>
              <w:rPr>
                <w:b/>
                <w:bCs/>
              </w:rPr>
            </w:pPr>
          </w:p>
          <w:p w14:paraId="6401CF8F" w14:textId="77777777" w:rsidR="006445F8" w:rsidRDefault="006445F8" w:rsidP="003A058A">
            <w:pPr>
              <w:ind w:right="-43" w:firstLine="1366"/>
              <w:rPr>
                <w:b/>
                <w:bCs/>
              </w:rPr>
            </w:pPr>
          </w:p>
          <w:p w14:paraId="34847E50" w14:textId="77777777" w:rsidR="006445F8" w:rsidRDefault="006445F8" w:rsidP="003A058A">
            <w:pPr>
              <w:ind w:right="-43" w:firstLine="1366"/>
              <w:rPr>
                <w:b/>
                <w:bCs/>
              </w:rPr>
            </w:pPr>
          </w:p>
          <w:p w14:paraId="59EE82FA" w14:textId="77777777" w:rsidR="00FF0AC3" w:rsidRDefault="00FF0AC3" w:rsidP="003A058A">
            <w:pPr>
              <w:ind w:right="-43" w:firstLine="1366"/>
              <w:rPr>
                <w:b/>
                <w:bCs/>
              </w:rPr>
            </w:pPr>
          </w:p>
          <w:p w14:paraId="2E238857" w14:textId="77777777" w:rsidR="00FF0AC3" w:rsidRDefault="00FF0AC3" w:rsidP="003A058A">
            <w:pPr>
              <w:ind w:right="-43" w:firstLine="1366"/>
              <w:rPr>
                <w:b/>
                <w:bCs/>
              </w:rPr>
            </w:pPr>
          </w:p>
          <w:p w14:paraId="24322B14" w14:textId="77777777" w:rsidR="00FF0AC3" w:rsidRDefault="00FF0AC3" w:rsidP="003A058A">
            <w:pPr>
              <w:ind w:right="-43" w:firstLine="1366"/>
              <w:rPr>
                <w:b/>
                <w:bCs/>
              </w:rPr>
            </w:pPr>
          </w:p>
          <w:p w14:paraId="33AB5DF5" w14:textId="77777777" w:rsidR="00FF0AC3" w:rsidRDefault="00FF0AC3" w:rsidP="003A058A">
            <w:pPr>
              <w:ind w:right="-43" w:firstLine="1366"/>
              <w:rPr>
                <w:b/>
                <w:bCs/>
              </w:rPr>
            </w:pPr>
          </w:p>
          <w:p w14:paraId="5040429D" w14:textId="77777777" w:rsidR="00FF0AC3" w:rsidRDefault="00FF0AC3" w:rsidP="003A058A">
            <w:pPr>
              <w:ind w:right="-43" w:firstLine="1366"/>
              <w:rPr>
                <w:b/>
                <w:bCs/>
              </w:rPr>
            </w:pPr>
          </w:p>
          <w:p w14:paraId="4C486D3B" w14:textId="77777777" w:rsidR="00FF0AC3" w:rsidRDefault="00FF0AC3" w:rsidP="003A058A">
            <w:pPr>
              <w:ind w:right="-43" w:firstLine="1366"/>
              <w:rPr>
                <w:b/>
                <w:bCs/>
              </w:rPr>
            </w:pPr>
          </w:p>
          <w:p w14:paraId="1193555D" w14:textId="77777777" w:rsidR="00FF0AC3" w:rsidRDefault="00FF0AC3" w:rsidP="003A058A">
            <w:pPr>
              <w:ind w:right="-43" w:firstLine="1366"/>
              <w:rPr>
                <w:b/>
                <w:bCs/>
              </w:rPr>
            </w:pPr>
          </w:p>
          <w:p w14:paraId="5C3E9DF6" w14:textId="77777777" w:rsidR="00FF0AC3" w:rsidRDefault="00FF0AC3" w:rsidP="003A058A">
            <w:pPr>
              <w:ind w:right="-43" w:firstLine="1366"/>
              <w:rPr>
                <w:b/>
                <w:bCs/>
              </w:rPr>
            </w:pPr>
          </w:p>
          <w:p w14:paraId="693EC3A7" w14:textId="77777777" w:rsidR="00FF0AC3" w:rsidRDefault="00FF0AC3" w:rsidP="003A058A">
            <w:pPr>
              <w:ind w:right="-43" w:firstLine="1366"/>
              <w:rPr>
                <w:b/>
                <w:bCs/>
              </w:rPr>
            </w:pPr>
          </w:p>
          <w:p w14:paraId="27E4BCFB" w14:textId="77777777" w:rsidR="00FF0AC3" w:rsidRDefault="00FF0AC3" w:rsidP="003A058A">
            <w:pPr>
              <w:ind w:right="-43" w:firstLine="1366"/>
              <w:rPr>
                <w:b/>
                <w:bCs/>
              </w:rPr>
            </w:pPr>
          </w:p>
          <w:p w14:paraId="0D329E76" w14:textId="77777777" w:rsidR="00B041AB" w:rsidRPr="00962ED9" w:rsidRDefault="00B041AB" w:rsidP="000A4CA6">
            <w:pPr>
              <w:ind w:right="-43"/>
              <w:jc w:val="center"/>
              <w:rPr>
                <w:b/>
                <w:bCs/>
              </w:rPr>
            </w:pPr>
          </w:p>
        </w:tc>
      </w:tr>
    </w:tbl>
    <w:p w14:paraId="33CDE0BD" w14:textId="77777777" w:rsidR="00827BC6" w:rsidRPr="001A7B41" w:rsidRDefault="00827BC6" w:rsidP="006224B2">
      <w:pPr>
        <w:rPr>
          <w:sz w:val="24"/>
          <w:szCs w:val="24"/>
        </w:rPr>
      </w:pPr>
    </w:p>
    <w:sectPr w:rsidR="00827BC6" w:rsidRPr="001A7B41" w:rsidSect="00692E6E">
      <w:headerReference w:type="default" r:id="rId8"/>
      <w:footerReference w:type="default" r:id="rId9"/>
      <w:pgSz w:w="11907" w:h="16839" w:code="9"/>
      <w:pgMar w:top="1304" w:right="1106" w:bottom="1440" w:left="136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800A" w14:textId="77777777" w:rsidR="00BF7AF6" w:rsidRDefault="00BF7AF6" w:rsidP="00B03FC7">
      <w:r>
        <w:separator/>
      </w:r>
    </w:p>
  </w:endnote>
  <w:endnote w:type="continuationSeparator" w:id="0">
    <w:p w14:paraId="6121D4FC" w14:textId="77777777" w:rsidR="00BF7AF6" w:rsidRDefault="00BF7AF6" w:rsidP="00B0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F0CE" w14:textId="77777777" w:rsidR="00DB08D3" w:rsidRDefault="00DB08D3">
    <w:pPr>
      <w:pStyle w:val="Footer"/>
      <w:jc w:val="right"/>
    </w:pPr>
  </w:p>
  <w:p w14:paraId="640AD604" w14:textId="77777777" w:rsidR="00DB08D3" w:rsidRDefault="00DB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01A9" w14:textId="77777777" w:rsidR="00BF7AF6" w:rsidRDefault="00BF7AF6" w:rsidP="00B03FC7">
      <w:r>
        <w:separator/>
      </w:r>
    </w:p>
  </w:footnote>
  <w:footnote w:type="continuationSeparator" w:id="0">
    <w:p w14:paraId="2DE4C406" w14:textId="77777777" w:rsidR="00BF7AF6" w:rsidRDefault="00BF7AF6" w:rsidP="00B03FC7">
      <w:r>
        <w:continuationSeparator/>
      </w:r>
    </w:p>
  </w:footnote>
  <w:footnote w:id="1">
    <w:p w14:paraId="7D87EC7D" w14:textId="77777777" w:rsidR="00B762E9" w:rsidRDefault="00B762E9">
      <w:pPr>
        <w:pStyle w:val="FootnoteText"/>
      </w:pPr>
      <w:r>
        <w:rPr>
          <w:rStyle w:val="FootnoteReference"/>
        </w:rPr>
        <w:footnoteRef/>
      </w:r>
      <w:r>
        <w:t xml:space="preserve"> Theo Quyết định số 2999/QĐ-UBND ngày 18 tháng 8 năm 2021 của Ủy ban nhân dân Thành phố Hồ Chí Minh về ban hành Kế hoạch thời gian năm học 2021-2022 đối với giáo dục phổ thông và giáo dục thường xuyên trên địa bàn Thành phố Hồ Chí Minh</w:t>
      </w:r>
      <w:r w:rsidR="00B20CC2">
        <w:t>.</w:t>
      </w:r>
    </w:p>
  </w:footnote>
  <w:footnote w:id="2">
    <w:p w14:paraId="6288640E" w14:textId="77777777" w:rsidR="004460A9" w:rsidRPr="009D0E14" w:rsidRDefault="004460A9" w:rsidP="004460A9">
      <w:pPr>
        <w:pStyle w:val="FootnoteText"/>
        <w:jc w:val="both"/>
      </w:pPr>
      <w:r w:rsidRPr="009D0E14">
        <w:rPr>
          <w:rStyle w:val="FootnoteReference"/>
        </w:rPr>
        <w:footnoteRef/>
      </w:r>
      <w:r w:rsidRPr="009D0E14">
        <w:t xml:space="preserve"> Định mức phân bổ đã được </w:t>
      </w:r>
      <w:r>
        <w:t xml:space="preserve">Ủy ban nhân dân </w:t>
      </w:r>
      <w:r w:rsidRPr="009D0E14">
        <w:t xml:space="preserve">Thành phố </w:t>
      </w:r>
      <w:r>
        <w:t>quy định</w:t>
      </w:r>
      <w:r w:rsidRPr="009D0E14">
        <w:t xml:space="preserve"> tại </w:t>
      </w:r>
      <w:r>
        <w:t>Quyết định 56</w:t>
      </w:r>
      <w:r w:rsidRPr="009D0E14">
        <w:t>/2016/</w:t>
      </w:r>
      <w:r>
        <w:t>QĐ</w:t>
      </w:r>
      <w:r w:rsidRPr="009D0E14">
        <w:t>-</w:t>
      </w:r>
      <w:r>
        <w:t>UBND</w:t>
      </w:r>
      <w:r w:rsidRPr="009D0E14">
        <w:t xml:space="preserve"> ngày </w:t>
      </w:r>
      <w:r>
        <w:t>10</w:t>
      </w:r>
      <w:r w:rsidRPr="009D0E14">
        <w:t xml:space="preserve">/12/2016 </w:t>
      </w:r>
      <w:r>
        <w:t xml:space="preserve">về </w:t>
      </w:r>
      <w:r w:rsidRPr="009D0E14">
        <w:rPr>
          <w:iCs/>
        </w:rPr>
        <w:t xml:space="preserve">định mức phân bổ chi ngân sách </w:t>
      </w:r>
      <w:r>
        <w:rPr>
          <w:iCs/>
        </w:rPr>
        <w:t xml:space="preserve">lĩnh vực giáo dục năm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922861"/>
      <w:docPartObj>
        <w:docPartGallery w:val="Page Numbers (Top of Page)"/>
        <w:docPartUnique/>
      </w:docPartObj>
    </w:sdtPr>
    <w:sdtEndPr>
      <w:rPr>
        <w:noProof/>
      </w:rPr>
    </w:sdtEndPr>
    <w:sdtContent>
      <w:p w14:paraId="0D5AF9C6" w14:textId="77777777" w:rsidR="00B041AB" w:rsidRDefault="00B041AB">
        <w:pPr>
          <w:pStyle w:val="Header"/>
          <w:jc w:val="center"/>
        </w:pPr>
        <w:r>
          <w:fldChar w:fldCharType="begin"/>
        </w:r>
        <w:r>
          <w:instrText xml:space="preserve"> PAGE   \* MERGEFORMAT </w:instrText>
        </w:r>
        <w:r>
          <w:fldChar w:fldCharType="separate"/>
        </w:r>
        <w:r w:rsidR="000F4FA9">
          <w:rPr>
            <w:noProof/>
          </w:rPr>
          <w:t>2</w:t>
        </w:r>
        <w:r>
          <w:rPr>
            <w:noProof/>
          </w:rPr>
          <w:fldChar w:fldCharType="end"/>
        </w:r>
      </w:p>
    </w:sdtContent>
  </w:sdt>
  <w:p w14:paraId="762CD035" w14:textId="77777777" w:rsidR="00B041AB" w:rsidRDefault="00B04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7B34"/>
    <w:multiLevelType w:val="hybridMultilevel"/>
    <w:tmpl w:val="59E62D86"/>
    <w:lvl w:ilvl="0" w:tplc="7C566530">
      <w:start w:val="2"/>
      <w:numFmt w:val="bullet"/>
      <w:lvlText w:val="-"/>
      <w:lvlJc w:val="left"/>
      <w:pPr>
        <w:ind w:left="820" w:hanging="360"/>
      </w:pPr>
      <w:rPr>
        <w:rFonts w:ascii="Times New Roman" w:eastAsia="Times New Roman" w:hAnsi="Times New Roman" w:cs="Times New Roman" w:hint="default"/>
        <w:i w:val="0"/>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350B216A"/>
    <w:multiLevelType w:val="hybridMultilevel"/>
    <w:tmpl w:val="793A18D8"/>
    <w:lvl w:ilvl="0" w:tplc="5C405A60">
      <w:numFmt w:val="bullet"/>
      <w:lvlText w:val="-"/>
      <w:lvlJc w:val="left"/>
      <w:pPr>
        <w:tabs>
          <w:tab w:val="num" w:pos="2880"/>
        </w:tabs>
        <w:ind w:left="2880" w:hanging="360"/>
      </w:pPr>
      <w:rPr>
        <w:rFonts w:ascii="Times New Roman" w:eastAsia="Times New Roman" w:hAnsi="Times New Roman" w:cs="Times New Roman" w:hint="default"/>
        <w:b w:val="0"/>
        <w:sz w:val="22"/>
        <w:szCs w:val="22"/>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57AA4A38"/>
    <w:multiLevelType w:val="hybridMultilevel"/>
    <w:tmpl w:val="38BC11BA"/>
    <w:lvl w:ilvl="0" w:tplc="00ECA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5C44C3"/>
    <w:multiLevelType w:val="hybridMultilevel"/>
    <w:tmpl w:val="145672B6"/>
    <w:lvl w:ilvl="0" w:tplc="4EA2FC82">
      <w:start w:val="1"/>
      <w:numFmt w:val="bullet"/>
      <w:lvlText w:val="-"/>
      <w:lvlJc w:val="left"/>
      <w:pPr>
        <w:tabs>
          <w:tab w:val="num" w:pos="900"/>
        </w:tabs>
        <w:ind w:left="900" w:hanging="360"/>
      </w:pPr>
      <w:rPr>
        <w:rFonts w:ascii="Times New Roman" w:eastAsia="Times New Roman" w:hAnsi="Times New Roman" w:cs="Times New Roman" w:hint="default"/>
        <w:sz w:val="28"/>
        <w:szCs w:val="28"/>
      </w:rPr>
    </w:lvl>
    <w:lvl w:ilvl="1" w:tplc="04090003">
      <w:start w:val="1"/>
      <w:numFmt w:val="bullet"/>
      <w:lvlText w:val="o"/>
      <w:lvlJc w:val="left"/>
      <w:pPr>
        <w:tabs>
          <w:tab w:val="num" w:pos="4560"/>
        </w:tabs>
        <w:ind w:left="4560" w:hanging="360"/>
      </w:pPr>
      <w:rPr>
        <w:rFonts w:ascii="Courier New" w:hAnsi="Courier New" w:cs="Courier New" w:hint="default"/>
      </w:rPr>
    </w:lvl>
    <w:lvl w:ilvl="2" w:tplc="04090005">
      <w:start w:val="1"/>
      <w:numFmt w:val="bullet"/>
      <w:lvlText w:val=""/>
      <w:lvlJc w:val="left"/>
      <w:pPr>
        <w:tabs>
          <w:tab w:val="num" w:pos="5280"/>
        </w:tabs>
        <w:ind w:left="5280" w:hanging="360"/>
      </w:pPr>
      <w:rPr>
        <w:rFonts w:ascii="Wingdings" w:hAnsi="Wingdings" w:hint="default"/>
      </w:rPr>
    </w:lvl>
    <w:lvl w:ilvl="3" w:tplc="04090001">
      <w:start w:val="1"/>
      <w:numFmt w:val="bullet"/>
      <w:lvlText w:val=""/>
      <w:lvlJc w:val="left"/>
      <w:pPr>
        <w:tabs>
          <w:tab w:val="num" w:pos="6000"/>
        </w:tabs>
        <w:ind w:left="6000" w:hanging="360"/>
      </w:pPr>
      <w:rPr>
        <w:rFonts w:ascii="Symbol" w:hAnsi="Symbol" w:hint="default"/>
      </w:rPr>
    </w:lvl>
    <w:lvl w:ilvl="4" w:tplc="04090003">
      <w:start w:val="1"/>
      <w:numFmt w:val="bullet"/>
      <w:lvlText w:val="o"/>
      <w:lvlJc w:val="left"/>
      <w:pPr>
        <w:tabs>
          <w:tab w:val="num" w:pos="6720"/>
        </w:tabs>
        <w:ind w:left="6720" w:hanging="360"/>
      </w:pPr>
      <w:rPr>
        <w:rFonts w:ascii="Courier New" w:hAnsi="Courier New" w:cs="Courier New" w:hint="default"/>
      </w:rPr>
    </w:lvl>
    <w:lvl w:ilvl="5" w:tplc="04090005">
      <w:start w:val="1"/>
      <w:numFmt w:val="bullet"/>
      <w:lvlText w:val=""/>
      <w:lvlJc w:val="left"/>
      <w:pPr>
        <w:tabs>
          <w:tab w:val="num" w:pos="7440"/>
        </w:tabs>
        <w:ind w:left="7440" w:hanging="360"/>
      </w:pPr>
      <w:rPr>
        <w:rFonts w:ascii="Wingdings" w:hAnsi="Wingdings" w:hint="default"/>
      </w:rPr>
    </w:lvl>
    <w:lvl w:ilvl="6" w:tplc="04090001">
      <w:start w:val="1"/>
      <w:numFmt w:val="bullet"/>
      <w:lvlText w:val=""/>
      <w:lvlJc w:val="left"/>
      <w:pPr>
        <w:tabs>
          <w:tab w:val="num" w:pos="8160"/>
        </w:tabs>
        <w:ind w:left="8160" w:hanging="360"/>
      </w:pPr>
      <w:rPr>
        <w:rFonts w:ascii="Symbol" w:hAnsi="Symbol" w:hint="default"/>
      </w:rPr>
    </w:lvl>
    <w:lvl w:ilvl="7" w:tplc="04090003">
      <w:start w:val="1"/>
      <w:numFmt w:val="bullet"/>
      <w:lvlText w:val="o"/>
      <w:lvlJc w:val="left"/>
      <w:pPr>
        <w:tabs>
          <w:tab w:val="num" w:pos="8880"/>
        </w:tabs>
        <w:ind w:left="8880" w:hanging="360"/>
      </w:pPr>
      <w:rPr>
        <w:rFonts w:ascii="Courier New" w:hAnsi="Courier New" w:cs="Courier New" w:hint="default"/>
      </w:rPr>
    </w:lvl>
    <w:lvl w:ilvl="8" w:tplc="04090005">
      <w:start w:val="1"/>
      <w:numFmt w:val="bullet"/>
      <w:lvlText w:val=""/>
      <w:lvlJc w:val="left"/>
      <w:pPr>
        <w:tabs>
          <w:tab w:val="num" w:pos="9600"/>
        </w:tabs>
        <w:ind w:left="9600" w:hanging="360"/>
      </w:pPr>
      <w:rPr>
        <w:rFonts w:ascii="Wingdings" w:hAnsi="Wingdings" w:hint="default"/>
      </w:rPr>
    </w:lvl>
  </w:abstractNum>
  <w:abstractNum w:abstractNumId="4" w15:restartNumberingAfterBreak="0">
    <w:nsid w:val="7F63401D"/>
    <w:multiLevelType w:val="hybridMultilevel"/>
    <w:tmpl w:val="DA8A8BAE"/>
    <w:lvl w:ilvl="0" w:tplc="FFFFFFFF">
      <w:numFmt w:val="bullet"/>
      <w:lvlText w:val="-"/>
      <w:lvlJc w:val="left"/>
      <w:pPr>
        <w:tabs>
          <w:tab w:val="num" w:pos="720"/>
        </w:tabs>
        <w:ind w:left="720" w:hanging="360"/>
      </w:pPr>
      <w:rPr>
        <w:rFonts w:ascii="Times New Roman" w:eastAsia="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80055407">
    <w:abstractNumId w:val="4"/>
  </w:num>
  <w:num w:numId="2" w16cid:durableId="1495295485">
    <w:abstractNumId w:val="1"/>
  </w:num>
  <w:num w:numId="3" w16cid:durableId="854736031">
    <w:abstractNumId w:val="3"/>
  </w:num>
  <w:num w:numId="4" w16cid:durableId="1732193765">
    <w:abstractNumId w:val="2"/>
  </w:num>
  <w:num w:numId="5" w16cid:durableId="138131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A2"/>
    <w:rsid w:val="000239A1"/>
    <w:rsid w:val="00032077"/>
    <w:rsid w:val="000347F0"/>
    <w:rsid w:val="00035DC9"/>
    <w:rsid w:val="000413E3"/>
    <w:rsid w:val="00046C9E"/>
    <w:rsid w:val="000500E1"/>
    <w:rsid w:val="0005082B"/>
    <w:rsid w:val="00052444"/>
    <w:rsid w:val="00070C93"/>
    <w:rsid w:val="0007715F"/>
    <w:rsid w:val="00082500"/>
    <w:rsid w:val="00084B75"/>
    <w:rsid w:val="00084E11"/>
    <w:rsid w:val="00087B02"/>
    <w:rsid w:val="0009699F"/>
    <w:rsid w:val="000977EF"/>
    <w:rsid w:val="000978C0"/>
    <w:rsid w:val="000A0A40"/>
    <w:rsid w:val="000A4CA6"/>
    <w:rsid w:val="000C1E7E"/>
    <w:rsid w:val="000F4FA9"/>
    <w:rsid w:val="000F5A85"/>
    <w:rsid w:val="0010039A"/>
    <w:rsid w:val="001064E2"/>
    <w:rsid w:val="00110520"/>
    <w:rsid w:val="0011138F"/>
    <w:rsid w:val="00113180"/>
    <w:rsid w:val="0013461D"/>
    <w:rsid w:val="00155C71"/>
    <w:rsid w:val="00156B46"/>
    <w:rsid w:val="00156D9E"/>
    <w:rsid w:val="00161DD1"/>
    <w:rsid w:val="00175D8F"/>
    <w:rsid w:val="001769EC"/>
    <w:rsid w:val="00184BC2"/>
    <w:rsid w:val="001867FB"/>
    <w:rsid w:val="001A654C"/>
    <w:rsid w:val="001A7B41"/>
    <w:rsid w:val="001C396B"/>
    <w:rsid w:val="001C53CC"/>
    <w:rsid w:val="001D3A7C"/>
    <w:rsid w:val="001D548F"/>
    <w:rsid w:val="001E3C5F"/>
    <w:rsid w:val="001E3E06"/>
    <w:rsid w:val="001F0582"/>
    <w:rsid w:val="001F643B"/>
    <w:rsid w:val="0020517A"/>
    <w:rsid w:val="002067D2"/>
    <w:rsid w:val="00210221"/>
    <w:rsid w:val="0022059F"/>
    <w:rsid w:val="00222715"/>
    <w:rsid w:val="00224093"/>
    <w:rsid w:val="002245CD"/>
    <w:rsid w:val="00232CCA"/>
    <w:rsid w:val="00233DDF"/>
    <w:rsid w:val="002445E4"/>
    <w:rsid w:val="00250DC5"/>
    <w:rsid w:val="00251089"/>
    <w:rsid w:val="002519AD"/>
    <w:rsid w:val="00252E3E"/>
    <w:rsid w:val="002707DA"/>
    <w:rsid w:val="00270D42"/>
    <w:rsid w:val="002721A2"/>
    <w:rsid w:val="00273DE7"/>
    <w:rsid w:val="00277082"/>
    <w:rsid w:val="00277C60"/>
    <w:rsid w:val="0028068E"/>
    <w:rsid w:val="00280766"/>
    <w:rsid w:val="00285732"/>
    <w:rsid w:val="00291819"/>
    <w:rsid w:val="002933B4"/>
    <w:rsid w:val="00295745"/>
    <w:rsid w:val="002976AD"/>
    <w:rsid w:val="002A29AC"/>
    <w:rsid w:val="002C28EF"/>
    <w:rsid w:val="002D259E"/>
    <w:rsid w:val="002D2DB9"/>
    <w:rsid w:val="002D5224"/>
    <w:rsid w:val="00302C6E"/>
    <w:rsid w:val="00306E9F"/>
    <w:rsid w:val="0031234B"/>
    <w:rsid w:val="0031766D"/>
    <w:rsid w:val="003317F5"/>
    <w:rsid w:val="00331E3D"/>
    <w:rsid w:val="00332BA9"/>
    <w:rsid w:val="003354A6"/>
    <w:rsid w:val="00335EC7"/>
    <w:rsid w:val="00342389"/>
    <w:rsid w:val="00342F6C"/>
    <w:rsid w:val="00344440"/>
    <w:rsid w:val="003541C1"/>
    <w:rsid w:val="00356BA9"/>
    <w:rsid w:val="003578DC"/>
    <w:rsid w:val="00365037"/>
    <w:rsid w:val="003710A4"/>
    <w:rsid w:val="00371825"/>
    <w:rsid w:val="00375D95"/>
    <w:rsid w:val="003778A5"/>
    <w:rsid w:val="0038146F"/>
    <w:rsid w:val="00383974"/>
    <w:rsid w:val="00384731"/>
    <w:rsid w:val="00384AD2"/>
    <w:rsid w:val="00390546"/>
    <w:rsid w:val="0039090E"/>
    <w:rsid w:val="003932A4"/>
    <w:rsid w:val="00393D1E"/>
    <w:rsid w:val="003A058A"/>
    <w:rsid w:val="003A1895"/>
    <w:rsid w:val="003A3662"/>
    <w:rsid w:val="003B25DE"/>
    <w:rsid w:val="003B51C2"/>
    <w:rsid w:val="003E26D0"/>
    <w:rsid w:val="00404BEB"/>
    <w:rsid w:val="00415591"/>
    <w:rsid w:val="00426E41"/>
    <w:rsid w:val="004433DD"/>
    <w:rsid w:val="004460A9"/>
    <w:rsid w:val="0045770F"/>
    <w:rsid w:val="00466DE3"/>
    <w:rsid w:val="0049343B"/>
    <w:rsid w:val="004A1FA0"/>
    <w:rsid w:val="004B5881"/>
    <w:rsid w:val="004C084E"/>
    <w:rsid w:val="004F2256"/>
    <w:rsid w:val="004F298A"/>
    <w:rsid w:val="004F5843"/>
    <w:rsid w:val="004F638F"/>
    <w:rsid w:val="004F65EF"/>
    <w:rsid w:val="00503055"/>
    <w:rsid w:val="00504B8B"/>
    <w:rsid w:val="00507D7A"/>
    <w:rsid w:val="0051027D"/>
    <w:rsid w:val="00525D95"/>
    <w:rsid w:val="00531924"/>
    <w:rsid w:val="00542265"/>
    <w:rsid w:val="00544FC4"/>
    <w:rsid w:val="00547AF4"/>
    <w:rsid w:val="00553127"/>
    <w:rsid w:val="0057138F"/>
    <w:rsid w:val="00582E56"/>
    <w:rsid w:val="00590249"/>
    <w:rsid w:val="005A079D"/>
    <w:rsid w:val="005A148F"/>
    <w:rsid w:val="005A1654"/>
    <w:rsid w:val="005B1D98"/>
    <w:rsid w:val="005B1E63"/>
    <w:rsid w:val="005B2693"/>
    <w:rsid w:val="005B2A38"/>
    <w:rsid w:val="005B55EB"/>
    <w:rsid w:val="005C0174"/>
    <w:rsid w:val="005C18A3"/>
    <w:rsid w:val="005C693B"/>
    <w:rsid w:val="005D0904"/>
    <w:rsid w:val="005D23D0"/>
    <w:rsid w:val="005E35C5"/>
    <w:rsid w:val="005E5719"/>
    <w:rsid w:val="005E614D"/>
    <w:rsid w:val="005E778C"/>
    <w:rsid w:val="0060529F"/>
    <w:rsid w:val="00611CB9"/>
    <w:rsid w:val="006224B2"/>
    <w:rsid w:val="00641CC1"/>
    <w:rsid w:val="006445F8"/>
    <w:rsid w:val="00646B20"/>
    <w:rsid w:val="00663672"/>
    <w:rsid w:val="00665CF5"/>
    <w:rsid w:val="0066749D"/>
    <w:rsid w:val="0067181E"/>
    <w:rsid w:val="0067718B"/>
    <w:rsid w:val="00680250"/>
    <w:rsid w:val="00691610"/>
    <w:rsid w:val="00692E6E"/>
    <w:rsid w:val="006960B7"/>
    <w:rsid w:val="00696C62"/>
    <w:rsid w:val="00697FC7"/>
    <w:rsid w:val="006A6BDD"/>
    <w:rsid w:val="006B18EF"/>
    <w:rsid w:val="006B23E8"/>
    <w:rsid w:val="006B49BD"/>
    <w:rsid w:val="006B6E53"/>
    <w:rsid w:val="006C2FEB"/>
    <w:rsid w:val="006E09AF"/>
    <w:rsid w:val="006F2F4D"/>
    <w:rsid w:val="00701FCC"/>
    <w:rsid w:val="00714B85"/>
    <w:rsid w:val="0072513A"/>
    <w:rsid w:val="0072639E"/>
    <w:rsid w:val="00733DF1"/>
    <w:rsid w:val="0073743D"/>
    <w:rsid w:val="00740131"/>
    <w:rsid w:val="00740A70"/>
    <w:rsid w:val="007411CA"/>
    <w:rsid w:val="00747492"/>
    <w:rsid w:val="00754703"/>
    <w:rsid w:val="007579B0"/>
    <w:rsid w:val="00777F89"/>
    <w:rsid w:val="007861BE"/>
    <w:rsid w:val="00793512"/>
    <w:rsid w:val="007A5514"/>
    <w:rsid w:val="007A6CB4"/>
    <w:rsid w:val="007A6FCA"/>
    <w:rsid w:val="007B3472"/>
    <w:rsid w:val="007D3CE6"/>
    <w:rsid w:val="007D5EA2"/>
    <w:rsid w:val="007D7D79"/>
    <w:rsid w:val="007E5EB7"/>
    <w:rsid w:val="007F1B02"/>
    <w:rsid w:val="007F3AB3"/>
    <w:rsid w:val="007F7314"/>
    <w:rsid w:val="008024E4"/>
    <w:rsid w:val="00805025"/>
    <w:rsid w:val="00816F56"/>
    <w:rsid w:val="00817174"/>
    <w:rsid w:val="008175D8"/>
    <w:rsid w:val="008220A6"/>
    <w:rsid w:val="0082294F"/>
    <w:rsid w:val="00827454"/>
    <w:rsid w:val="00827BC6"/>
    <w:rsid w:val="00830860"/>
    <w:rsid w:val="00842FE2"/>
    <w:rsid w:val="0085706E"/>
    <w:rsid w:val="0085750A"/>
    <w:rsid w:val="0087509C"/>
    <w:rsid w:val="0089175A"/>
    <w:rsid w:val="008A022A"/>
    <w:rsid w:val="008A2843"/>
    <w:rsid w:val="008A30B4"/>
    <w:rsid w:val="008C2E15"/>
    <w:rsid w:val="008C36CF"/>
    <w:rsid w:val="008E0AD6"/>
    <w:rsid w:val="008F4EC0"/>
    <w:rsid w:val="008F5720"/>
    <w:rsid w:val="00905F50"/>
    <w:rsid w:val="009066FD"/>
    <w:rsid w:val="0091126F"/>
    <w:rsid w:val="00912280"/>
    <w:rsid w:val="00912902"/>
    <w:rsid w:val="009175D8"/>
    <w:rsid w:val="00926798"/>
    <w:rsid w:val="009273FC"/>
    <w:rsid w:val="00935839"/>
    <w:rsid w:val="0094254E"/>
    <w:rsid w:val="00942CF9"/>
    <w:rsid w:val="00951724"/>
    <w:rsid w:val="00962ED9"/>
    <w:rsid w:val="009636D9"/>
    <w:rsid w:val="00963A46"/>
    <w:rsid w:val="0096754E"/>
    <w:rsid w:val="009714BC"/>
    <w:rsid w:val="009774A8"/>
    <w:rsid w:val="00977F24"/>
    <w:rsid w:val="00995123"/>
    <w:rsid w:val="00997464"/>
    <w:rsid w:val="009A0ABE"/>
    <w:rsid w:val="009A0E63"/>
    <w:rsid w:val="009A4312"/>
    <w:rsid w:val="009B13F8"/>
    <w:rsid w:val="009C3C08"/>
    <w:rsid w:val="009D2066"/>
    <w:rsid w:val="009D4E8C"/>
    <w:rsid w:val="009E0D55"/>
    <w:rsid w:val="009F5E35"/>
    <w:rsid w:val="00A04C70"/>
    <w:rsid w:val="00A05A63"/>
    <w:rsid w:val="00A12261"/>
    <w:rsid w:val="00A21113"/>
    <w:rsid w:val="00A267E0"/>
    <w:rsid w:val="00A3347F"/>
    <w:rsid w:val="00A41BAA"/>
    <w:rsid w:val="00A62580"/>
    <w:rsid w:val="00A65E69"/>
    <w:rsid w:val="00A778DA"/>
    <w:rsid w:val="00A8031C"/>
    <w:rsid w:val="00A8187C"/>
    <w:rsid w:val="00A833E1"/>
    <w:rsid w:val="00A92E40"/>
    <w:rsid w:val="00AB3CB8"/>
    <w:rsid w:val="00AB7906"/>
    <w:rsid w:val="00AD4326"/>
    <w:rsid w:val="00AD73D2"/>
    <w:rsid w:val="00AE682E"/>
    <w:rsid w:val="00AF256A"/>
    <w:rsid w:val="00B03FC7"/>
    <w:rsid w:val="00B041AB"/>
    <w:rsid w:val="00B153A9"/>
    <w:rsid w:val="00B20CC2"/>
    <w:rsid w:val="00B3465D"/>
    <w:rsid w:val="00B37BEC"/>
    <w:rsid w:val="00B44C10"/>
    <w:rsid w:val="00B5143A"/>
    <w:rsid w:val="00B538FD"/>
    <w:rsid w:val="00B6015A"/>
    <w:rsid w:val="00B61715"/>
    <w:rsid w:val="00B762E9"/>
    <w:rsid w:val="00B907BE"/>
    <w:rsid w:val="00B9128F"/>
    <w:rsid w:val="00B96CF4"/>
    <w:rsid w:val="00BB3DC3"/>
    <w:rsid w:val="00BC1A6F"/>
    <w:rsid w:val="00BC4406"/>
    <w:rsid w:val="00BC4971"/>
    <w:rsid w:val="00BC683F"/>
    <w:rsid w:val="00BD2F42"/>
    <w:rsid w:val="00BD3CEC"/>
    <w:rsid w:val="00BD744C"/>
    <w:rsid w:val="00BF3D6F"/>
    <w:rsid w:val="00BF5484"/>
    <w:rsid w:val="00BF7AF6"/>
    <w:rsid w:val="00C052CF"/>
    <w:rsid w:val="00C15B16"/>
    <w:rsid w:val="00C30C35"/>
    <w:rsid w:val="00C31A2B"/>
    <w:rsid w:val="00C33AD5"/>
    <w:rsid w:val="00C37B88"/>
    <w:rsid w:val="00C400CE"/>
    <w:rsid w:val="00C47A1B"/>
    <w:rsid w:val="00C53096"/>
    <w:rsid w:val="00C63D5C"/>
    <w:rsid w:val="00C65156"/>
    <w:rsid w:val="00C6663F"/>
    <w:rsid w:val="00C678B3"/>
    <w:rsid w:val="00C714B2"/>
    <w:rsid w:val="00C718A8"/>
    <w:rsid w:val="00C729B5"/>
    <w:rsid w:val="00C74C82"/>
    <w:rsid w:val="00C82B06"/>
    <w:rsid w:val="00C83486"/>
    <w:rsid w:val="00C961DE"/>
    <w:rsid w:val="00C97077"/>
    <w:rsid w:val="00CC0279"/>
    <w:rsid w:val="00CC0CAA"/>
    <w:rsid w:val="00CD2EA1"/>
    <w:rsid w:val="00CD621A"/>
    <w:rsid w:val="00CE1E6A"/>
    <w:rsid w:val="00CE4665"/>
    <w:rsid w:val="00CE67AA"/>
    <w:rsid w:val="00CF002F"/>
    <w:rsid w:val="00CF33F5"/>
    <w:rsid w:val="00CF6A66"/>
    <w:rsid w:val="00D07526"/>
    <w:rsid w:val="00D079E4"/>
    <w:rsid w:val="00D12417"/>
    <w:rsid w:val="00D1530A"/>
    <w:rsid w:val="00D52E69"/>
    <w:rsid w:val="00D60BA8"/>
    <w:rsid w:val="00D61E72"/>
    <w:rsid w:val="00D70B53"/>
    <w:rsid w:val="00D754A4"/>
    <w:rsid w:val="00D81EA5"/>
    <w:rsid w:val="00D86579"/>
    <w:rsid w:val="00D95E2F"/>
    <w:rsid w:val="00DB08D3"/>
    <w:rsid w:val="00DB160B"/>
    <w:rsid w:val="00DB49A5"/>
    <w:rsid w:val="00DC0F9E"/>
    <w:rsid w:val="00DC5506"/>
    <w:rsid w:val="00DD5242"/>
    <w:rsid w:val="00DE134E"/>
    <w:rsid w:val="00DE6918"/>
    <w:rsid w:val="00DE7770"/>
    <w:rsid w:val="00E03CFF"/>
    <w:rsid w:val="00E159CA"/>
    <w:rsid w:val="00E30D26"/>
    <w:rsid w:val="00E35D53"/>
    <w:rsid w:val="00E40665"/>
    <w:rsid w:val="00E428A0"/>
    <w:rsid w:val="00E45269"/>
    <w:rsid w:val="00E45A50"/>
    <w:rsid w:val="00E507BD"/>
    <w:rsid w:val="00E5473E"/>
    <w:rsid w:val="00E82241"/>
    <w:rsid w:val="00E9063D"/>
    <w:rsid w:val="00E91FE6"/>
    <w:rsid w:val="00EA5118"/>
    <w:rsid w:val="00EB1AD8"/>
    <w:rsid w:val="00EB6AB2"/>
    <w:rsid w:val="00EC5D3E"/>
    <w:rsid w:val="00EC6A9C"/>
    <w:rsid w:val="00ED2398"/>
    <w:rsid w:val="00ED4970"/>
    <w:rsid w:val="00EF768D"/>
    <w:rsid w:val="00F049DF"/>
    <w:rsid w:val="00F116F0"/>
    <w:rsid w:val="00F15C72"/>
    <w:rsid w:val="00F20459"/>
    <w:rsid w:val="00F3095F"/>
    <w:rsid w:val="00F37E7F"/>
    <w:rsid w:val="00F41444"/>
    <w:rsid w:val="00F50C23"/>
    <w:rsid w:val="00F50FD5"/>
    <w:rsid w:val="00F67D79"/>
    <w:rsid w:val="00F70CF5"/>
    <w:rsid w:val="00F76FA7"/>
    <w:rsid w:val="00F9035B"/>
    <w:rsid w:val="00FA30AE"/>
    <w:rsid w:val="00FA5CF1"/>
    <w:rsid w:val="00FC3A18"/>
    <w:rsid w:val="00FC497D"/>
    <w:rsid w:val="00FE27E0"/>
    <w:rsid w:val="00FE50A6"/>
    <w:rsid w:val="00FF0AC3"/>
    <w:rsid w:val="00FF1FA9"/>
    <w:rsid w:val="00FF2F09"/>
    <w:rsid w:val="00FF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E415"/>
  <w15:docId w15:val="{DE607248-9E92-4365-94BF-37808EEA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A2"/>
    <w:rPr>
      <w:rFonts w:ascii="Times New Roman" w:eastAsia="Times New Roman" w:hAnsi="Times New Roman" w:cs="Times New Roman"/>
      <w:sz w:val="28"/>
      <w:szCs w:val="28"/>
    </w:rPr>
  </w:style>
  <w:style w:type="paragraph" w:styleId="Heading1">
    <w:name w:val="heading 1"/>
    <w:basedOn w:val="Normal"/>
    <w:next w:val="Normal"/>
    <w:link w:val="Heading1Char"/>
    <w:qFormat/>
    <w:rsid w:val="002721A2"/>
    <w:pPr>
      <w:keepNext/>
      <w:jc w:val="center"/>
      <w:outlineLvl w:val="0"/>
    </w:pPr>
    <w:rPr>
      <w:rFonts w:ascii="VNI-Times" w:hAnsi="VNI-Times"/>
      <w:b/>
      <w:sz w:val="24"/>
      <w:szCs w:val="20"/>
    </w:rPr>
  </w:style>
  <w:style w:type="paragraph" w:styleId="Heading2">
    <w:name w:val="heading 2"/>
    <w:basedOn w:val="Normal"/>
    <w:next w:val="Normal"/>
    <w:link w:val="Heading2Char"/>
    <w:qFormat/>
    <w:rsid w:val="002721A2"/>
    <w:pPr>
      <w:keepNext/>
      <w:jc w:val="center"/>
      <w:outlineLvl w:val="1"/>
    </w:pPr>
    <w:rPr>
      <w:rFonts w:ascii="VNI-Times" w:hAnsi="VNI-Times"/>
      <w:sz w:val="24"/>
      <w:szCs w:val="20"/>
    </w:rPr>
  </w:style>
  <w:style w:type="paragraph" w:styleId="Heading3">
    <w:name w:val="heading 3"/>
    <w:basedOn w:val="Normal"/>
    <w:next w:val="Normal"/>
    <w:link w:val="Heading3Char"/>
    <w:qFormat/>
    <w:rsid w:val="002721A2"/>
    <w:pPr>
      <w:keepNext/>
      <w:jc w:val="right"/>
      <w:outlineLvl w:val="2"/>
    </w:pPr>
    <w:rPr>
      <w:rFonts w:ascii="VNI-Times" w:hAnsi="VNI-Times"/>
      <w:i/>
      <w:sz w:val="24"/>
      <w:szCs w:val="20"/>
    </w:rPr>
  </w:style>
  <w:style w:type="paragraph" w:styleId="Heading9">
    <w:name w:val="heading 9"/>
    <w:basedOn w:val="Normal"/>
    <w:next w:val="Normal"/>
    <w:link w:val="Heading9Char"/>
    <w:qFormat/>
    <w:rsid w:val="002721A2"/>
    <w:pPr>
      <w:keepNext/>
      <w:jc w:val="center"/>
      <w:outlineLvl w:val="8"/>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1A2"/>
    <w:rPr>
      <w:rFonts w:ascii="VNI-Times" w:eastAsia="Times New Roman" w:hAnsi="VNI-Times" w:cs="Times New Roman"/>
      <w:b/>
      <w:sz w:val="24"/>
      <w:szCs w:val="20"/>
    </w:rPr>
  </w:style>
  <w:style w:type="character" w:customStyle="1" w:styleId="Heading2Char">
    <w:name w:val="Heading 2 Char"/>
    <w:basedOn w:val="DefaultParagraphFont"/>
    <w:link w:val="Heading2"/>
    <w:rsid w:val="002721A2"/>
    <w:rPr>
      <w:rFonts w:ascii="VNI-Times" w:eastAsia="Times New Roman" w:hAnsi="VNI-Times" w:cs="Times New Roman"/>
      <w:sz w:val="24"/>
      <w:szCs w:val="20"/>
    </w:rPr>
  </w:style>
  <w:style w:type="character" w:customStyle="1" w:styleId="Heading3Char">
    <w:name w:val="Heading 3 Char"/>
    <w:basedOn w:val="DefaultParagraphFont"/>
    <w:link w:val="Heading3"/>
    <w:rsid w:val="002721A2"/>
    <w:rPr>
      <w:rFonts w:ascii="VNI-Times" w:eastAsia="Times New Roman" w:hAnsi="VNI-Times" w:cs="Times New Roman"/>
      <w:i/>
      <w:sz w:val="24"/>
      <w:szCs w:val="20"/>
    </w:rPr>
  </w:style>
  <w:style w:type="character" w:customStyle="1" w:styleId="Heading9Char">
    <w:name w:val="Heading 9 Char"/>
    <w:basedOn w:val="DefaultParagraphFont"/>
    <w:link w:val="Heading9"/>
    <w:rsid w:val="002721A2"/>
    <w:rPr>
      <w:rFonts w:ascii="VNI-Times" w:eastAsia="Times New Roman" w:hAnsi="VNI-Times" w:cs="Times New Roman"/>
      <w:b/>
      <w:sz w:val="26"/>
      <w:szCs w:val="20"/>
    </w:rPr>
  </w:style>
  <w:style w:type="paragraph" w:styleId="BodyText2">
    <w:name w:val="Body Text 2"/>
    <w:basedOn w:val="Normal"/>
    <w:link w:val="BodyText2Char"/>
    <w:uiPriority w:val="99"/>
    <w:unhideWhenUsed/>
    <w:rsid w:val="002721A2"/>
    <w:pPr>
      <w:spacing w:after="120" w:line="480" w:lineRule="auto"/>
    </w:pPr>
  </w:style>
  <w:style w:type="character" w:customStyle="1" w:styleId="BodyText2Char">
    <w:name w:val="Body Text 2 Char"/>
    <w:basedOn w:val="DefaultParagraphFont"/>
    <w:link w:val="BodyText2"/>
    <w:uiPriority w:val="99"/>
    <w:rsid w:val="002721A2"/>
    <w:rPr>
      <w:rFonts w:ascii="Times New Roman" w:eastAsia="Times New Roman" w:hAnsi="Times New Roman" w:cs="Times New Roman"/>
      <w:sz w:val="28"/>
      <w:szCs w:val="28"/>
    </w:rPr>
  </w:style>
  <w:style w:type="paragraph" w:styleId="NormalWeb">
    <w:name w:val="Normal (Web)"/>
    <w:basedOn w:val="Normal"/>
    <w:link w:val="NormalWebChar"/>
    <w:unhideWhenUsed/>
    <w:rsid w:val="002721A2"/>
    <w:pPr>
      <w:spacing w:before="100" w:beforeAutospacing="1" w:after="100" w:afterAutospacing="1"/>
    </w:pPr>
    <w:rPr>
      <w:sz w:val="24"/>
      <w:szCs w:val="24"/>
    </w:rPr>
  </w:style>
  <w:style w:type="paragraph" w:styleId="Footer">
    <w:name w:val="footer"/>
    <w:basedOn w:val="Normal"/>
    <w:link w:val="FooterChar"/>
    <w:uiPriority w:val="99"/>
    <w:unhideWhenUsed/>
    <w:rsid w:val="002721A2"/>
    <w:pPr>
      <w:tabs>
        <w:tab w:val="center" w:pos="4680"/>
        <w:tab w:val="right" w:pos="9360"/>
      </w:tabs>
    </w:pPr>
  </w:style>
  <w:style w:type="character" w:customStyle="1" w:styleId="FooterChar">
    <w:name w:val="Footer Char"/>
    <w:basedOn w:val="DefaultParagraphFont"/>
    <w:link w:val="Footer"/>
    <w:uiPriority w:val="99"/>
    <w:rsid w:val="002721A2"/>
    <w:rPr>
      <w:rFonts w:ascii="Times New Roman" w:eastAsia="Times New Roman" w:hAnsi="Times New Roman" w:cs="Times New Roman"/>
      <w:sz w:val="28"/>
      <w:szCs w:val="28"/>
    </w:rPr>
  </w:style>
  <w:style w:type="paragraph" w:styleId="BodyText">
    <w:name w:val="Body Text"/>
    <w:basedOn w:val="Normal"/>
    <w:link w:val="BodyTextChar"/>
    <w:uiPriority w:val="99"/>
    <w:unhideWhenUsed/>
    <w:rsid w:val="00052444"/>
    <w:pPr>
      <w:spacing w:after="120"/>
    </w:pPr>
  </w:style>
  <w:style w:type="character" w:customStyle="1" w:styleId="BodyTextChar">
    <w:name w:val="Body Text Char"/>
    <w:basedOn w:val="DefaultParagraphFont"/>
    <w:link w:val="BodyText"/>
    <w:uiPriority w:val="99"/>
    <w:rsid w:val="00052444"/>
    <w:rPr>
      <w:rFonts w:ascii="Times New Roman" w:eastAsia="Times New Roman" w:hAnsi="Times New Roman" w:cs="Times New Roman"/>
      <w:sz w:val="28"/>
      <w:szCs w:val="28"/>
    </w:rPr>
  </w:style>
  <w:style w:type="paragraph" w:styleId="BodyTextIndent">
    <w:name w:val="Body Text Indent"/>
    <w:basedOn w:val="Normal"/>
    <w:link w:val="BodyTextIndentChar"/>
    <w:uiPriority w:val="99"/>
    <w:unhideWhenUsed/>
    <w:rsid w:val="003354A6"/>
    <w:pPr>
      <w:spacing w:after="120"/>
      <w:ind w:left="360"/>
    </w:pPr>
  </w:style>
  <w:style w:type="character" w:customStyle="1" w:styleId="BodyTextIndentChar">
    <w:name w:val="Body Text Indent Char"/>
    <w:basedOn w:val="DefaultParagraphFont"/>
    <w:link w:val="BodyTextIndent"/>
    <w:uiPriority w:val="99"/>
    <w:rsid w:val="003354A6"/>
    <w:rPr>
      <w:rFonts w:ascii="Times New Roman" w:eastAsia="Times New Roman" w:hAnsi="Times New Roman" w:cs="Times New Roman"/>
      <w:sz w:val="28"/>
      <w:szCs w:val="28"/>
    </w:rPr>
  </w:style>
  <w:style w:type="paragraph" w:styleId="ListParagraph">
    <w:name w:val="List Paragraph"/>
    <w:basedOn w:val="Normal"/>
    <w:uiPriority w:val="34"/>
    <w:qFormat/>
    <w:rsid w:val="002976AD"/>
    <w:pPr>
      <w:ind w:left="720"/>
      <w:contextualSpacing/>
    </w:pPr>
  </w:style>
  <w:style w:type="paragraph" w:styleId="Header">
    <w:name w:val="header"/>
    <w:basedOn w:val="Normal"/>
    <w:link w:val="HeaderChar"/>
    <w:uiPriority w:val="99"/>
    <w:unhideWhenUsed/>
    <w:rsid w:val="0031766D"/>
    <w:pPr>
      <w:tabs>
        <w:tab w:val="center" w:pos="4680"/>
        <w:tab w:val="right" w:pos="9360"/>
      </w:tabs>
    </w:pPr>
  </w:style>
  <w:style w:type="character" w:customStyle="1" w:styleId="HeaderChar">
    <w:name w:val="Header Char"/>
    <w:basedOn w:val="DefaultParagraphFont"/>
    <w:link w:val="Header"/>
    <w:uiPriority w:val="99"/>
    <w:rsid w:val="0031766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C3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08"/>
    <w:rPr>
      <w:rFonts w:ascii="Segoe UI" w:eastAsia="Times New Roman" w:hAnsi="Segoe UI" w:cs="Segoe UI"/>
      <w:sz w:val="18"/>
      <w:szCs w:val="18"/>
    </w:rPr>
  </w:style>
  <w:style w:type="character" w:customStyle="1" w:styleId="NormalWebChar">
    <w:name w:val="Normal (Web) Char"/>
    <w:link w:val="NormalWeb"/>
    <w:rsid w:val="001E3C5F"/>
    <w:rPr>
      <w:rFonts w:ascii="Times New Roman" w:eastAsia="Times New Roman" w:hAnsi="Times New Roman" w:cs="Times New Roman"/>
      <w:sz w:val="24"/>
      <w:szCs w:val="24"/>
    </w:rPr>
  </w:style>
  <w:style w:type="paragraph" w:customStyle="1" w:styleId="05NidungVB">
    <w:name w:val="05 Nội dung VB"/>
    <w:basedOn w:val="Normal"/>
    <w:link w:val="05NidungVBChar"/>
    <w:rsid w:val="001E3C5F"/>
    <w:pPr>
      <w:widowControl w:val="0"/>
      <w:spacing w:after="120" w:line="400" w:lineRule="atLeast"/>
      <w:ind w:firstLine="567"/>
      <w:jc w:val="both"/>
    </w:pPr>
    <w:rPr>
      <w:lang w:val="x-none" w:eastAsia="x-none"/>
    </w:rPr>
  </w:style>
  <w:style w:type="character" w:customStyle="1" w:styleId="05NidungVBChar">
    <w:name w:val="05 Nội dung VB Char"/>
    <w:link w:val="05NidungVB"/>
    <w:rsid w:val="001E3C5F"/>
    <w:rPr>
      <w:rFonts w:ascii="Times New Roman" w:eastAsia="Times New Roman" w:hAnsi="Times New Roman" w:cs="Times New Roman"/>
      <w:sz w:val="28"/>
      <w:szCs w:val="28"/>
      <w:lang w:val="x-none" w:eastAsia="x-none"/>
    </w:rPr>
  </w:style>
  <w:style w:type="paragraph" w:styleId="BodyTextIndent3">
    <w:name w:val="Body Text Indent 3"/>
    <w:basedOn w:val="Normal"/>
    <w:link w:val="BodyTextIndent3Char"/>
    <w:uiPriority w:val="99"/>
    <w:semiHidden/>
    <w:unhideWhenUsed/>
    <w:rsid w:val="000969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699F"/>
    <w:rPr>
      <w:rFonts w:ascii="Times New Roman" w:eastAsia="Times New Roman" w:hAnsi="Times New Roman" w:cs="Times New Roman"/>
      <w:sz w:val="16"/>
      <w:szCs w:val="16"/>
    </w:rPr>
  </w:style>
  <w:style w:type="paragraph" w:styleId="FootnoteText">
    <w:name w:val="footnote text"/>
    <w:basedOn w:val="Normal"/>
    <w:link w:val="FootnoteTextChar"/>
    <w:rsid w:val="004460A9"/>
    <w:rPr>
      <w:sz w:val="20"/>
      <w:szCs w:val="20"/>
    </w:rPr>
  </w:style>
  <w:style w:type="character" w:customStyle="1" w:styleId="FootnoteTextChar">
    <w:name w:val="Footnote Text Char"/>
    <w:basedOn w:val="DefaultParagraphFont"/>
    <w:link w:val="FootnoteText"/>
    <w:rsid w:val="004460A9"/>
    <w:rPr>
      <w:rFonts w:ascii="Times New Roman" w:eastAsia="Times New Roman" w:hAnsi="Times New Roman" w:cs="Times New Roman"/>
      <w:sz w:val="20"/>
      <w:szCs w:val="20"/>
    </w:rPr>
  </w:style>
  <w:style w:type="character" w:styleId="FootnoteReference">
    <w:name w:val="footnote reference"/>
    <w:rsid w:val="0044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A562-A44C-4BBB-AA7F-486AC675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Nhàn Võ Nguyễn Thanh</cp:lastModifiedBy>
  <cp:revision>4</cp:revision>
  <cp:lastPrinted>2022-05-11T03:37:00Z</cp:lastPrinted>
  <dcterms:created xsi:type="dcterms:W3CDTF">2022-05-11T03:34:00Z</dcterms:created>
  <dcterms:modified xsi:type="dcterms:W3CDTF">2022-05-11T03:49:00Z</dcterms:modified>
</cp:coreProperties>
</file>